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A756" w14:textId="3A893664" w:rsidR="0011442D" w:rsidRPr="0011442D" w:rsidRDefault="0011442D" w:rsidP="0011442D">
      <w:pPr>
        <w:spacing w:after="0" w:line="240" w:lineRule="auto"/>
        <w:jc w:val="center"/>
        <w:rPr>
          <w:b/>
          <w:bCs/>
          <w:sz w:val="32"/>
          <w:szCs w:val="32"/>
        </w:rPr>
      </w:pPr>
      <w:r w:rsidRPr="0011442D">
        <w:rPr>
          <w:b/>
          <w:bCs/>
          <w:sz w:val="32"/>
          <w:szCs w:val="32"/>
        </w:rPr>
        <w:t>VERGİ MEVZUATINDAKİ GELİŞMELER 2026/MART-</w:t>
      </w:r>
      <w:r>
        <w:rPr>
          <w:b/>
          <w:bCs/>
          <w:sz w:val="32"/>
          <w:szCs w:val="32"/>
        </w:rPr>
        <w:t>3</w:t>
      </w:r>
    </w:p>
    <w:p w14:paraId="2235D047" w14:textId="7B92D43D" w:rsidR="00F44BE8" w:rsidRDefault="00672D59" w:rsidP="00F44BE8">
      <w:pPr>
        <w:spacing w:after="0" w:line="240" w:lineRule="auto"/>
        <w:jc w:val="center"/>
        <w:rPr>
          <w:b/>
          <w:bCs/>
          <w:sz w:val="18"/>
          <w:szCs w:val="18"/>
        </w:rPr>
      </w:pPr>
      <w:r w:rsidRPr="00B54EDB">
        <w:rPr>
          <w:b/>
          <w:bCs/>
          <w:sz w:val="18"/>
          <w:szCs w:val="18"/>
        </w:rPr>
        <w:t>(</w:t>
      </w:r>
      <w:r w:rsidR="000374B8">
        <w:rPr>
          <w:b/>
          <w:bCs/>
          <w:sz w:val="18"/>
          <w:szCs w:val="18"/>
        </w:rPr>
        <w:t>27</w:t>
      </w:r>
      <w:r w:rsidR="00472BCE">
        <w:rPr>
          <w:b/>
          <w:bCs/>
          <w:sz w:val="18"/>
          <w:szCs w:val="18"/>
        </w:rPr>
        <w:t>.03</w:t>
      </w:r>
      <w:r>
        <w:rPr>
          <w:b/>
          <w:bCs/>
          <w:sz w:val="18"/>
          <w:szCs w:val="18"/>
        </w:rPr>
        <w:t>.2026</w:t>
      </w:r>
      <w:r w:rsidR="00C60D77">
        <w:rPr>
          <w:b/>
          <w:bCs/>
          <w:sz w:val="18"/>
          <w:szCs w:val="18"/>
        </w:rPr>
        <w:t>-</w:t>
      </w:r>
      <w:r w:rsidR="000374B8">
        <w:rPr>
          <w:b/>
          <w:bCs/>
          <w:sz w:val="18"/>
          <w:szCs w:val="18"/>
        </w:rPr>
        <w:t>28</w:t>
      </w:r>
      <w:r w:rsidR="00C60D77">
        <w:rPr>
          <w:b/>
          <w:bCs/>
          <w:sz w:val="18"/>
          <w:szCs w:val="18"/>
        </w:rPr>
        <w:t>.03.2026</w:t>
      </w:r>
      <w:r w:rsidRPr="00B54EDB">
        <w:rPr>
          <w:b/>
          <w:bCs/>
          <w:sz w:val="18"/>
          <w:szCs w:val="18"/>
        </w:rPr>
        <w:t>)</w:t>
      </w:r>
    </w:p>
    <w:p w14:paraId="6A5FB738" w14:textId="77777777" w:rsidR="00C23507" w:rsidRDefault="00C23507"/>
    <w:p w14:paraId="48FA8CD8" w14:textId="50E3EBC4" w:rsidR="00472BCE" w:rsidRPr="00182305" w:rsidRDefault="000374B8" w:rsidP="000374B8">
      <w:pPr>
        <w:jc w:val="both"/>
      </w:pPr>
      <w:r>
        <w:rPr>
          <w:b/>
          <w:bCs/>
          <w:sz w:val="26"/>
          <w:szCs w:val="26"/>
        </w:rPr>
        <w:t xml:space="preserve">I- </w:t>
      </w:r>
      <w:r w:rsidR="00CC17F9">
        <w:rPr>
          <w:b/>
          <w:bCs/>
          <w:sz w:val="26"/>
          <w:szCs w:val="26"/>
        </w:rPr>
        <w:t xml:space="preserve">GELİR VERGİSİ KANUNU’NUN GEÇİCİ 67. MADDESİ GEREĞİNCE </w:t>
      </w:r>
      <w:r w:rsidR="00CC17F9" w:rsidRPr="00CC17F9">
        <w:rPr>
          <w:b/>
          <w:bCs/>
          <w:sz w:val="26"/>
          <w:szCs w:val="26"/>
        </w:rPr>
        <w:t>TÜRKİYE ELEKTRONİK FON ALIM SATIM PLATFORMUNDA İŞLEM GÖRMEYEN SERBEST FONLAR</w:t>
      </w:r>
      <w:r w:rsidR="00CC17F9">
        <w:rPr>
          <w:b/>
          <w:bCs/>
          <w:sz w:val="26"/>
          <w:szCs w:val="26"/>
        </w:rPr>
        <w:t xml:space="preserve"> </w:t>
      </w:r>
      <w:r w:rsidR="00050B67">
        <w:rPr>
          <w:b/>
          <w:bCs/>
          <w:sz w:val="26"/>
          <w:szCs w:val="26"/>
        </w:rPr>
        <w:t xml:space="preserve">SIFIR ORANLI </w:t>
      </w:r>
      <w:r w:rsidR="00CC17F9">
        <w:rPr>
          <w:b/>
          <w:bCs/>
          <w:sz w:val="26"/>
          <w:szCs w:val="26"/>
        </w:rPr>
        <w:t>VERGİ KESİNTİSİ KAPSAMIN</w:t>
      </w:r>
      <w:r w:rsidR="00050B67">
        <w:rPr>
          <w:b/>
          <w:bCs/>
          <w:sz w:val="26"/>
          <w:szCs w:val="26"/>
        </w:rPr>
        <w:t>DAN ÇIKARILMIŞTIR</w:t>
      </w:r>
    </w:p>
    <w:p w14:paraId="345CDAA9" w14:textId="78EFF56E" w:rsidR="00E839B7" w:rsidRDefault="00CC17F9" w:rsidP="00050B67">
      <w:pPr>
        <w:jc w:val="both"/>
      </w:pPr>
      <w:r>
        <w:t xml:space="preserve">27 Mart 2026 tarihli ve 33206 sayılı Resmî Gazete’de yayımlanan 11107 sayılı Cumhurbaşkanı Kararı ile </w:t>
      </w:r>
      <w:r w:rsidRPr="00CC17F9">
        <w:t>Türkiye Elektronik Fon Alım Satım Platformu’nda (TEFAS) işlem görmeyen serbest fonların katılma payları yüzde sıfır vergi kesintisi</w:t>
      </w:r>
      <w:r>
        <w:t xml:space="preserve"> avantajının </w:t>
      </w:r>
      <w:r w:rsidRPr="00CC17F9">
        <w:t>kapsamı</w:t>
      </w:r>
      <w:r>
        <w:t xml:space="preserve"> dışına</w:t>
      </w:r>
      <w:r w:rsidRPr="00CC17F9">
        <w:t xml:space="preserve"> çıkarılmıştır.</w:t>
      </w:r>
    </w:p>
    <w:p w14:paraId="5A82144E" w14:textId="648CCCCA" w:rsidR="007B1FD8" w:rsidRDefault="007F007A" w:rsidP="00050B67">
      <w:pPr>
        <w:shd w:val="clear" w:color="auto" w:fill="FFFFFF" w:themeFill="background1"/>
        <w:jc w:val="both"/>
        <w:rPr>
          <w:rFonts w:cstheme="minorHAnsi"/>
        </w:rPr>
      </w:pPr>
      <w:r w:rsidRPr="007F007A">
        <w:rPr>
          <w:rFonts w:cstheme="minorHAnsi"/>
          <w:b/>
          <w:bCs/>
        </w:rPr>
        <w:t>Bu Karar, yayımı tarihinden itibaren iktisap edilen, Türkiye Elektronik Fon Alım Satım Platformunda işlem görmeyen hisse senedi yoğun serbest fonların katılma paylarından elde edilen kazançlara uygulanmak üzere yayımı tarihinde yürürlüğe girmiştir.</w:t>
      </w:r>
      <w:r>
        <w:rPr>
          <w:rFonts w:cstheme="minorHAnsi"/>
        </w:rPr>
        <w:t xml:space="preserve"> Yani, 27 Mart 2026 tarihinden önce alınan </w:t>
      </w:r>
      <w:r w:rsidRPr="007F007A">
        <w:rPr>
          <w:rFonts w:cstheme="minorHAnsi"/>
        </w:rPr>
        <w:t>Türkiye Elektronik Fon Alım Satım Platformunda işlem görmeyen hisse senedi yoğun serbest fonların katılma paylarından elde edilen kazançlara</w:t>
      </w:r>
      <w:r>
        <w:rPr>
          <w:rFonts w:cstheme="minorHAnsi"/>
        </w:rPr>
        <w:t xml:space="preserve"> eski hüküm uygulanacak</w:t>
      </w:r>
      <w:r w:rsidR="00C321FF">
        <w:rPr>
          <w:rFonts w:cstheme="minorHAnsi"/>
        </w:rPr>
        <w:t>,</w:t>
      </w:r>
      <w:r>
        <w:rPr>
          <w:rFonts w:cstheme="minorHAnsi"/>
        </w:rPr>
        <w:t xml:space="preserve"> vergi kesintisi sıfır (0) olacaktır.</w:t>
      </w:r>
    </w:p>
    <w:p w14:paraId="0C917A13" w14:textId="3552B580" w:rsidR="007F007A" w:rsidRDefault="007F007A" w:rsidP="00050B67">
      <w:pPr>
        <w:shd w:val="clear" w:color="auto" w:fill="FFFFFF" w:themeFill="background1"/>
        <w:jc w:val="both"/>
        <w:rPr>
          <w:rFonts w:cstheme="minorHAnsi"/>
        </w:rPr>
      </w:pPr>
      <w:r>
        <w:rPr>
          <w:rFonts w:cstheme="minorHAnsi"/>
        </w:rPr>
        <w:t xml:space="preserve">Yapılan son değişiklikten sonra oranların belirlendiği </w:t>
      </w:r>
      <w:r w:rsidRPr="007F007A">
        <w:rPr>
          <w:rFonts w:cstheme="minorHAnsi"/>
        </w:rPr>
        <w:t>22/7/2006 tarihli ve </w:t>
      </w:r>
      <w:hyperlink r:id="rId7" w:history="1">
        <w:r w:rsidRPr="007F007A">
          <w:rPr>
            <w:rStyle w:val="Kpr"/>
            <w:rFonts w:cstheme="minorHAnsi"/>
            <w:color w:val="auto"/>
            <w:u w:val="none"/>
          </w:rPr>
          <w:t>2006/10731</w:t>
        </w:r>
      </w:hyperlink>
      <w:r w:rsidRPr="007F007A">
        <w:rPr>
          <w:rFonts w:cstheme="minorHAnsi"/>
        </w:rPr>
        <w:t> sayılı Bakanlar Kurulu Kararının eki Kararın 1</w:t>
      </w:r>
      <w:r>
        <w:rPr>
          <w:rFonts w:cstheme="minorHAnsi"/>
        </w:rPr>
        <w:t>’</w:t>
      </w:r>
      <w:r w:rsidRPr="007F007A">
        <w:rPr>
          <w:rFonts w:cstheme="minorHAnsi"/>
        </w:rPr>
        <w:t>inci maddesinin birinci fıkrasının;</w:t>
      </w:r>
    </w:p>
    <w:p w14:paraId="242A85F1" w14:textId="77777777" w:rsidR="007F007A" w:rsidRPr="007F007A" w:rsidRDefault="007F007A" w:rsidP="007F007A">
      <w:pPr>
        <w:shd w:val="clear" w:color="auto" w:fill="FFFFFF" w:themeFill="background1"/>
        <w:rPr>
          <w:rFonts w:cstheme="minorHAnsi"/>
        </w:rPr>
      </w:pPr>
      <w:r w:rsidRPr="007F007A">
        <w:rPr>
          <w:rFonts w:cstheme="minorHAnsi"/>
          <w:b/>
          <w:bCs/>
        </w:rPr>
        <w:t>a)</w:t>
      </w:r>
      <w:r w:rsidRPr="007F007A">
        <w:rPr>
          <w:rFonts w:cstheme="minorHAnsi"/>
        </w:rPr>
        <w:t xml:space="preserve"> (a) bendinin (1) numaralı alt bendinin (ii) sırası aşağıdaki şekilde değiştirilmiştir.</w:t>
      </w:r>
    </w:p>
    <w:p w14:paraId="0E6129D3" w14:textId="77777777" w:rsidR="007F007A" w:rsidRPr="007F007A" w:rsidRDefault="007F007A" w:rsidP="007F007A">
      <w:pPr>
        <w:shd w:val="clear" w:color="auto" w:fill="F2F2F2" w:themeFill="background1" w:themeFillShade="F2"/>
        <w:rPr>
          <w:rFonts w:cstheme="minorHAnsi"/>
          <w:i/>
          <w:iCs/>
          <w:sz w:val="20"/>
          <w:szCs w:val="20"/>
        </w:rPr>
      </w:pPr>
      <w:r w:rsidRPr="007F007A">
        <w:rPr>
          <w:rFonts w:cstheme="minorHAnsi"/>
          <w:i/>
          <w:iCs/>
          <w:sz w:val="20"/>
          <w:szCs w:val="20"/>
        </w:rPr>
        <w:t xml:space="preserve">“ii) Hisse senedi yoğun fonların katılma paylarından </w:t>
      </w:r>
      <w:r w:rsidRPr="007F007A">
        <w:rPr>
          <w:rFonts w:cstheme="minorHAnsi"/>
          <w:b/>
          <w:bCs/>
          <w:i/>
          <w:iCs/>
          <w:sz w:val="20"/>
          <w:szCs w:val="20"/>
        </w:rPr>
        <w:t>(Türkiye Elektronik Fon Alım Satım Platformunda işlem görmeyen serbest fonların katılma payları hariç)</w:t>
      </w:r>
      <w:r w:rsidRPr="007F007A">
        <w:rPr>
          <w:rFonts w:cstheme="minorHAnsi"/>
          <w:i/>
          <w:iCs/>
          <w:sz w:val="20"/>
          <w:szCs w:val="20"/>
        </w:rPr>
        <w:t>, iki yıldan fazla süreyle elde tutulan girişim sermayesi yatırım fonu ve gayrimenkul yatırım fonu katılma paylarından elde edilen kazançlar için %0, diğer yatırım fonu katılma paylarından elde edilen kazançlar için %17,5,”</w:t>
      </w:r>
    </w:p>
    <w:p w14:paraId="408E2AC4" w14:textId="77777777" w:rsidR="007F007A" w:rsidRPr="007F007A" w:rsidRDefault="007F007A" w:rsidP="007F007A">
      <w:pPr>
        <w:shd w:val="clear" w:color="auto" w:fill="FFFFFF" w:themeFill="background1"/>
        <w:rPr>
          <w:rFonts w:cstheme="minorHAnsi"/>
        </w:rPr>
      </w:pPr>
      <w:r w:rsidRPr="007F007A">
        <w:rPr>
          <w:rFonts w:cstheme="minorHAnsi"/>
          <w:b/>
          <w:bCs/>
        </w:rPr>
        <w:t>b)</w:t>
      </w:r>
      <w:r w:rsidRPr="007F007A">
        <w:rPr>
          <w:rFonts w:cstheme="minorHAnsi"/>
        </w:rPr>
        <w:t xml:space="preserve"> (ç) bendinin (ii) sırası aşağıdaki şekilde değiştirilmiştir.</w:t>
      </w:r>
    </w:p>
    <w:p w14:paraId="290B7400" w14:textId="08994FFB" w:rsidR="007F007A" w:rsidRDefault="007F007A" w:rsidP="007F007A">
      <w:pPr>
        <w:shd w:val="clear" w:color="auto" w:fill="F2F2F2" w:themeFill="background1" w:themeFillShade="F2"/>
        <w:rPr>
          <w:rFonts w:cstheme="minorHAnsi"/>
          <w:i/>
          <w:iCs/>
          <w:sz w:val="20"/>
          <w:szCs w:val="20"/>
        </w:rPr>
      </w:pPr>
      <w:r w:rsidRPr="007F007A">
        <w:rPr>
          <w:rFonts w:cstheme="minorHAnsi"/>
          <w:i/>
          <w:iCs/>
          <w:sz w:val="20"/>
          <w:szCs w:val="20"/>
        </w:rPr>
        <w:t xml:space="preserve">“ii) Hisse senedi yoğun fonların katılma paylarından </w:t>
      </w:r>
      <w:r w:rsidRPr="007F007A">
        <w:rPr>
          <w:rFonts w:cstheme="minorHAnsi"/>
          <w:b/>
          <w:bCs/>
          <w:i/>
          <w:iCs/>
          <w:sz w:val="20"/>
          <w:szCs w:val="20"/>
        </w:rPr>
        <w:t>(Türkiye Elektronik Fon Alım Satım Platformunda işlem görmeyen serbest fonların katılma payları hariç),</w:t>
      </w:r>
      <w:r w:rsidRPr="007F007A">
        <w:rPr>
          <w:rFonts w:cstheme="minorHAnsi"/>
          <w:i/>
          <w:iCs/>
          <w:sz w:val="20"/>
          <w:szCs w:val="20"/>
        </w:rPr>
        <w:t xml:space="preserve"> iki yıldan fazla süreyle elde tutulan girişim sermayesi yatırım fonu ve gayrimenkul yatırım fonu katılma paylarından elde edilen kazançlar için %0, diğer yatırım fonu katılma paylarından elde edilen kazançlar için %17,5,”</w:t>
      </w:r>
    </w:p>
    <w:p w14:paraId="0CCD257A" w14:textId="77777777" w:rsidR="007F007A" w:rsidRDefault="007F007A" w:rsidP="007F007A">
      <w:pPr>
        <w:shd w:val="clear" w:color="auto" w:fill="FFFFFF" w:themeFill="background1"/>
        <w:rPr>
          <w:rFonts w:cstheme="minorHAnsi"/>
        </w:rPr>
      </w:pPr>
    </w:p>
    <w:p w14:paraId="19419FD3" w14:textId="66811600" w:rsidR="00E254C2" w:rsidRPr="00E254C2" w:rsidRDefault="00E254C2" w:rsidP="00E254C2">
      <w:pPr>
        <w:shd w:val="clear" w:color="auto" w:fill="FFFFFF" w:themeFill="background1"/>
        <w:jc w:val="both"/>
        <w:rPr>
          <w:rFonts w:cstheme="minorHAnsi"/>
          <w:b/>
          <w:bCs/>
          <w:sz w:val="26"/>
          <w:szCs w:val="26"/>
        </w:rPr>
      </w:pPr>
      <w:r w:rsidRPr="00E254C2">
        <w:rPr>
          <w:rFonts w:cstheme="minorHAnsi"/>
          <w:b/>
          <w:bCs/>
          <w:sz w:val="26"/>
          <w:szCs w:val="26"/>
        </w:rPr>
        <w:t>II- VERGİ ZİYAI, USULSÜZLÜK VE ÖZEL USULSÜZLÜK CEZALARINA İLİŞKİN YETKİLİ UZLAŞMA KOMİSYONLARININ BELİRLENMESİNE İLİŞKİN 592 SIRA NO’LU VERGİ USUL KANUNU GENEL TEBLİĞİ YAYIMLANMIŞTIR</w:t>
      </w:r>
    </w:p>
    <w:p w14:paraId="14ED154D" w14:textId="76176BB9" w:rsidR="00E254C2" w:rsidRDefault="00E254C2" w:rsidP="00394174">
      <w:pPr>
        <w:shd w:val="clear" w:color="auto" w:fill="FFFFFF" w:themeFill="background1"/>
        <w:jc w:val="both"/>
        <w:rPr>
          <w:rFonts w:cstheme="minorHAnsi"/>
        </w:rPr>
      </w:pPr>
      <w:r>
        <w:rPr>
          <w:rFonts w:cstheme="minorHAnsi"/>
        </w:rPr>
        <w:t xml:space="preserve">28 Mart 2026 tarihli ve 33207 sayılı Resmî Gazete’de yayımlanan 592 Sıra No’lu Vergi Usul Kanunu </w:t>
      </w:r>
      <w:r w:rsidR="00394174">
        <w:rPr>
          <w:rFonts w:cstheme="minorHAnsi"/>
        </w:rPr>
        <w:t xml:space="preserve">(VUK) </w:t>
      </w:r>
      <w:r>
        <w:rPr>
          <w:rFonts w:cstheme="minorHAnsi"/>
        </w:rPr>
        <w:t xml:space="preserve">Genel Tebliği ile </w:t>
      </w:r>
      <w:r w:rsidRPr="00E254C2">
        <w:rPr>
          <w:rFonts w:cstheme="minorHAnsi"/>
        </w:rPr>
        <w:t>Vergi Usul Kanunu</w:t>
      </w:r>
      <w:r>
        <w:rPr>
          <w:rFonts w:cstheme="minorHAnsi"/>
        </w:rPr>
        <w:t>’</w:t>
      </w:r>
      <w:r w:rsidRPr="00E254C2">
        <w:rPr>
          <w:rFonts w:cstheme="minorHAnsi"/>
        </w:rPr>
        <w:t>nun ek 1</w:t>
      </w:r>
      <w:r>
        <w:rPr>
          <w:rFonts w:cstheme="minorHAnsi"/>
        </w:rPr>
        <w:t>’</w:t>
      </w:r>
      <w:r w:rsidRPr="00E254C2">
        <w:rPr>
          <w:rFonts w:cstheme="minorHAnsi"/>
        </w:rPr>
        <w:t>inci maddesinde yer alan yetkiye dayanılarak, vergi ziyaı, usulsüzlük ve özel usulsüzlük cezalarına ilişkin yetkili uzlaşma komisyonlarının belirlenmesi</w:t>
      </w:r>
      <w:r>
        <w:rPr>
          <w:rFonts w:cstheme="minorHAnsi"/>
        </w:rPr>
        <w:t xml:space="preserve">ne ilişkin açıklamalar yapılmıştır. </w:t>
      </w:r>
    </w:p>
    <w:p w14:paraId="04356541" w14:textId="07AEED7D" w:rsidR="00E254C2" w:rsidRDefault="00E254C2" w:rsidP="00394174">
      <w:pPr>
        <w:shd w:val="clear" w:color="auto" w:fill="FFFFFF" w:themeFill="background1"/>
        <w:jc w:val="both"/>
        <w:rPr>
          <w:rFonts w:cstheme="minorHAnsi"/>
        </w:rPr>
      </w:pPr>
      <w:r>
        <w:rPr>
          <w:rFonts w:cstheme="minorHAnsi"/>
        </w:rPr>
        <w:t>Tebliğin 3. ve 4. maddeleri uyarınca, vergi ziyaı, usulsüzlük ve özel usulsüzlük cezalarında ye</w:t>
      </w:r>
      <w:r w:rsidR="00DE7E4F">
        <w:rPr>
          <w:rFonts w:cstheme="minorHAnsi"/>
        </w:rPr>
        <w:t>t</w:t>
      </w:r>
      <w:r>
        <w:rPr>
          <w:rFonts w:cstheme="minorHAnsi"/>
        </w:rPr>
        <w:t>kili uzlaşma komisyonları olarak</w:t>
      </w:r>
      <w:r w:rsidRPr="00E254C2">
        <w:rPr>
          <w:rFonts w:cstheme="minorHAnsi"/>
          <w:i/>
          <w:iCs/>
        </w:rPr>
        <w:t xml:space="preserve">, “Vergi dairesi/bağlı vergi dairesi (mal müdürlüğü) uzlaşma komisyonlarının yetkisini aşan uzlaşma talepleri ilgili defterdarlık uzlaşma komisyonunca, bunların yetkisini aşan </w:t>
      </w:r>
      <w:r w:rsidRPr="00E254C2">
        <w:rPr>
          <w:rFonts w:cstheme="minorHAnsi"/>
          <w:i/>
          <w:iCs/>
        </w:rPr>
        <w:lastRenderedPageBreak/>
        <w:t>uzlaşma talepleri ise sırasıyla Vergi Daireleri Koordinasyon Uzlaşma Komisyonu veya Merkezi Uzlaşma Komisyonunca incelenip sonuçlandırılacaktır”</w:t>
      </w:r>
      <w:r>
        <w:rPr>
          <w:rFonts w:cstheme="minorHAnsi"/>
        </w:rPr>
        <w:t xml:space="preserve"> şeklinde açıklama yapılmıştır. </w:t>
      </w:r>
    </w:p>
    <w:p w14:paraId="472643FA" w14:textId="062C9907" w:rsidR="00E254C2" w:rsidRDefault="00E254C2" w:rsidP="00394174">
      <w:pPr>
        <w:shd w:val="clear" w:color="auto" w:fill="FFFFFF" w:themeFill="background1"/>
        <w:jc w:val="both"/>
        <w:rPr>
          <w:rFonts w:cstheme="minorHAnsi"/>
        </w:rPr>
      </w:pPr>
      <w:r w:rsidRPr="00E254C2">
        <w:rPr>
          <w:rFonts w:cstheme="minorHAnsi"/>
        </w:rPr>
        <w:t>Aynı yıl veya muhtelif yıllar için birden fazla vergi ziyaı cezası</w:t>
      </w:r>
      <w:r>
        <w:rPr>
          <w:rFonts w:cstheme="minorHAnsi"/>
        </w:rPr>
        <w:t>, usulsüzlük ve özel usulsüzlük cezası</w:t>
      </w:r>
      <w:r w:rsidRPr="00E254C2">
        <w:rPr>
          <w:rFonts w:cstheme="minorHAnsi"/>
        </w:rPr>
        <w:t xml:space="preserve"> kesilmesi durumunda, yetkili komisyon en yüksek ceza tutarını içeren vergi/ceza ihbarnamesine göre belirlenecektir. Uzlaşmada birliğin sağlanması bakımından, diğer vergi/ceza ihbarnamelerine ilişkin uzlaşma talepleri de ceza tutarı en yüksek olan vergi/ceza ihbarnamesindeki tutara göre belirlenen yetkili uzlaşma komisyonunda görüşülecektir.</w:t>
      </w:r>
    </w:p>
    <w:p w14:paraId="00636CA2" w14:textId="6072BA52" w:rsidR="00394174" w:rsidRDefault="00394174" w:rsidP="00394174">
      <w:pPr>
        <w:shd w:val="clear" w:color="auto" w:fill="FFFFFF" w:themeFill="background1"/>
        <w:jc w:val="both"/>
        <w:rPr>
          <w:rFonts w:cstheme="minorHAnsi"/>
        </w:rPr>
      </w:pPr>
      <w:r w:rsidRPr="00394174">
        <w:rPr>
          <w:rFonts w:cstheme="minorHAnsi"/>
        </w:rPr>
        <w:t>Aynı yıl veya muhtelif yıllar için usulsüzlük veya özel usulsüzlük cezaları ile birlikte vergi ziyaı cezaları için de uzlaşma başvurusunda bulunulması halinde, yetkili uzlaşma komisyonunun tespiti için vergi ziyaı cezası tutarları dikkate alınacaktır. Vergi ziyaı cezası tutarı hangi uzlaşma komisyonunun yetkisinde kalıyorsa, kesilen diğer ceza/cezalar için yapılan uzlaşma talepleri de uzlaşmada birliğin sağlanması bakımından aynı uzlaşma komisyonunda görüşülecektir.</w:t>
      </w:r>
    </w:p>
    <w:p w14:paraId="65103151" w14:textId="26BF0159" w:rsidR="00394174" w:rsidRPr="00E254C2" w:rsidRDefault="00394174" w:rsidP="00394174">
      <w:pPr>
        <w:shd w:val="clear" w:color="auto" w:fill="FFFFFF" w:themeFill="background1"/>
        <w:jc w:val="both"/>
        <w:rPr>
          <w:rFonts w:cstheme="minorHAnsi"/>
        </w:rPr>
      </w:pPr>
      <w:r w:rsidRPr="00394174">
        <w:rPr>
          <w:rFonts w:cstheme="minorHAnsi"/>
        </w:rPr>
        <w:t>Uzlaşma komisyonlarının uzlaşma konusu yapabilecekleri vergi ziyaı, usulsüzlük ve özel usulsüzlük cezalarının tutarları, uzlaşma görüşmelerinin mahallinde hızlı bir şekilde sonuçlandırılması amacıyla ve gerekli görülen diğer hallerde iller veya il grupları itibarıyla Gelir İdaresi Başkanlığı tarafından belirlenir.</w:t>
      </w:r>
    </w:p>
    <w:p w14:paraId="3881528E" w14:textId="68AC2BEA" w:rsidR="000374B8" w:rsidRDefault="00394174" w:rsidP="00394174">
      <w:pPr>
        <w:shd w:val="clear" w:color="auto" w:fill="FFFFFF" w:themeFill="background1"/>
        <w:jc w:val="both"/>
        <w:rPr>
          <w:rFonts w:cstheme="minorHAnsi"/>
        </w:rPr>
      </w:pPr>
      <w:r w:rsidRPr="00394174">
        <w:rPr>
          <w:rFonts w:cstheme="minorHAnsi"/>
        </w:rPr>
        <w:t>592 Sıra No’lu VUK Genel Tebliği yayımı tarihinde yürürlüğe girmiştir.</w:t>
      </w:r>
    </w:p>
    <w:p w14:paraId="5BF71C87" w14:textId="77777777" w:rsidR="00050B67" w:rsidRPr="00394174" w:rsidRDefault="00050B67" w:rsidP="00394174">
      <w:pPr>
        <w:shd w:val="clear" w:color="auto" w:fill="FFFFFF" w:themeFill="background1"/>
        <w:jc w:val="both"/>
        <w:rPr>
          <w:rFonts w:cstheme="minorHAnsi"/>
        </w:rPr>
      </w:pPr>
    </w:p>
    <w:sectPr w:rsidR="00050B67" w:rsidRPr="0039417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6F95" w14:textId="77777777" w:rsidR="00BE425A" w:rsidRDefault="00BE425A" w:rsidP="007003D0">
      <w:pPr>
        <w:spacing w:after="0" w:line="240" w:lineRule="auto"/>
      </w:pPr>
      <w:r>
        <w:separator/>
      </w:r>
    </w:p>
  </w:endnote>
  <w:endnote w:type="continuationSeparator" w:id="0">
    <w:p w14:paraId="29EB896C" w14:textId="77777777" w:rsidR="00BE425A" w:rsidRDefault="00BE425A"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2E93" w14:textId="77777777" w:rsidR="004E4A47" w:rsidRDefault="004E4A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856946"/>
      <w:docPartObj>
        <w:docPartGallery w:val="Page Numbers (Bottom of Page)"/>
        <w:docPartUnique/>
      </w:docPartObj>
    </w:sdtPr>
    <w:sdtEndPr/>
    <w:sdtContent>
      <w:p w14:paraId="4CA3D250" w14:textId="3514B0D3" w:rsidR="00146D59" w:rsidRDefault="00146D59">
        <w:pPr>
          <w:pStyle w:val="AltBilgi"/>
          <w:jc w:val="center"/>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5F8E" w14:textId="77777777" w:rsidR="004E4A47" w:rsidRDefault="004E4A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ED46" w14:textId="77777777" w:rsidR="00BE425A" w:rsidRDefault="00BE425A" w:rsidP="007003D0">
      <w:pPr>
        <w:spacing w:after="0" w:line="240" w:lineRule="auto"/>
      </w:pPr>
      <w:r>
        <w:separator/>
      </w:r>
    </w:p>
  </w:footnote>
  <w:footnote w:type="continuationSeparator" w:id="0">
    <w:p w14:paraId="6730AF2F" w14:textId="77777777" w:rsidR="00BE425A" w:rsidRDefault="00BE425A"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6099" w14:textId="77777777" w:rsidR="004E4A47" w:rsidRDefault="004E4A4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1D7F7A3F" w14:textId="4A6BD802" w:rsidR="004E4A47" w:rsidRDefault="004E4A47">
    <w:pPr>
      <w:pStyle w:val="stBilgi"/>
    </w:pPr>
    <w:r w:rsidRPr="00F22779">
      <w:rPr>
        <w:b/>
        <w:bCs/>
      </w:rPr>
      <w:object w:dxaOrig="9042" w:dyaOrig="1927" w14:anchorId="12E73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36397482"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A00F" w14:textId="77777777" w:rsidR="004E4A47" w:rsidRDefault="004E4A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31"/>
    <w:multiLevelType w:val="multilevel"/>
    <w:tmpl w:val="00C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1"/>
  </w:num>
  <w:num w:numId="2" w16cid:durableId="90691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508"/>
    <w:rsid w:val="00014CD2"/>
    <w:rsid w:val="00014E9C"/>
    <w:rsid w:val="00030A9B"/>
    <w:rsid w:val="000374B8"/>
    <w:rsid w:val="00043BFC"/>
    <w:rsid w:val="00045BC8"/>
    <w:rsid w:val="00050B67"/>
    <w:rsid w:val="000709FF"/>
    <w:rsid w:val="0009737A"/>
    <w:rsid w:val="000C0E6A"/>
    <w:rsid w:val="000C5B9B"/>
    <w:rsid w:val="0011442D"/>
    <w:rsid w:val="00116523"/>
    <w:rsid w:val="0012570F"/>
    <w:rsid w:val="00132AC8"/>
    <w:rsid w:val="0013498C"/>
    <w:rsid w:val="001354C0"/>
    <w:rsid w:val="001418FB"/>
    <w:rsid w:val="00146D59"/>
    <w:rsid w:val="0015010B"/>
    <w:rsid w:val="001634AC"/>
    <w:rsid w:val="001644DF"/>
    <w:rsid w:val="00170C3E"/>
    <w:rsid w:val="00180E72"/>
    <w:rsid w:val="00182305"/>
    <w:rsid w:val="001A0AA6"/>
    <w:rsid w:val="001A5921"/>
    <w:rsid w:val="001A6BFC"/>
    <w:rsid w:val="001C547C"/>
    <w:rsid w:val="001C61D3"/>
    <w:rsid w:val="001D0AD4"/>
    <w:rsid w:val="001D4559"/>
    <w:rsid w:val="001D6927"/>
    <w:rsid w:val="001F3D74"/>
    <w:rsid w:val="00213727"/>
    <w:rsid w:val="00214B7E"/>
    <w:rsid w:val="0022777D"/>
    <w:rsid w:val="0023532A"/>
    <w:rsid w:val="00235A96"/>
    <w:rsid w:val="00263869"/>
    <w:rsid w:val="0029204E"/>
    <w:rsid w:val="0029694B"/>
    <w:rsid w:val="002A1B76"/>
    <w:rsid w:val="002A3F6C"/>
    <w:rsid w:val="002B009F"/>
    <w:rsid w:val="002B0E91"/>
    <w:rsid w:val="002B5D54"/>
    <w:rsid w:val="002B762C"/>
    <w:rsid w:val="002B7C55"/>
    <w:rsid w:val="002C35D3"/>
    <w:rsid w:val="002D34D6"/>
    <w:rsid w:val="00303EDC"/>
    <w:rsid w:val="0030464E"/>
    <w:rsid w:val="0030595C"/>
    <w:rsid w:val="00342AB1"/>
    <w:rsid w:val="00353D7A"/>
    <w:rsid w:val="003867F1"/>
    <w:rsid w:val="00394174"/>
    <w:rsid w:val="003A0090"/>
    <w:rsid w:val="003A7505"/>
    <w:rsid w:val="003C4CF1"/>
    <w:rsid w:val="003F0949"/>
    <w:rsid w:val="003F298E"/>
    <w:rsid w:val="00420441"/>
    <w:rsid w:val="00421AB4"/>
    <w:rsid w:val="00425837"/>
    <w:rsid w:val="00425FA8"/>
    <w:rsid w:val="00426931"/>
    <w:rsid w:val="00426C96"/>
    <w:rsid w:val="004441E3"/>
    <w:rsid w:val="00444503"/>
    <w:rsid w:val="00445B03"/>
    <w:rsid w:val="00450DDA"/>
    <w:rsid w:val="00464DBE"/>
    <w:rsid w:val="00472BCE"/>
    <w:rsid w:val="00474CDF"/>
    <w:rsid w:val="00476491"/>
    <w:rsid w:val="004804CD"/>
    <w:rsid w:val="00485F25"/>
    <w:rsid w:val="00492CE7"/>
    <w:rsid w:val="00494F05"/>
    <w:rsid w:val="00495317"/>
    <w:rsid w:val="00495F8D"/>
    <w:rsid w:val="004A431D"/>
    <w:rsid w:val="004A60D5"/>
    <w:rsid w:val="004B67FD"/>
    <w:rsid w:val="004C15BD"/>
    <w:rsid w:val="004E4A47"/>
    <w:rsid w:val="004F1482"/>
    <w:rsid w:val="004F274B"/>
    <w:rsid w:val="004F65BF"/>
    <w:rsid w:val="004F7FE2"/>
    <w:rsid w:val="00505303"/>
    <w:rsid w:val="00515BE9"/>
    <w:rsid w:val="0052148C"/>
    <w:rsid w:val="00542935"/>
    <w:rsid w:val="00543F90"/>
    <w:rsid w:val="00557D5A"/>
    <w:rsid w:val="00557E4C"/>
    <w:rsid w:val="00561EE5"/>
    <w:rsid w:val="00562478"/>
    <w:rsid w:val="0056375C"/>
    <w:rsid w:val="00583270"/>
    <w:rsid w:val="00585114"/>
    <w:rsid w:val="0059231A"/>
    <w:rsid w:val="005C4369"/>
    <w:rsid w:val="005C4AC8"/>
    <w:rsid w:val="005C7C4B"/>
    <w:rsid w:val="005E3112"/>
    <w:rsid w:val="005E3EB7"/>
    <w:rsid w:val="005E4AD6"/>
    <w:rsid w:val="0061346C"/>
    <w:rsid w:val="006138E7"/>
    <w:rsid w:val="00627209"/>
    <w:rsid w:val="006301D2"/>
    <w:rsid w:val="00643AB9"/>
    <w:rsid w:val="0064585D"/>
    <w:rsid w:val="00665873"/>
    <w:rsid w:val="00667D75"/>
    <w:rsid w:val="00672D59"/>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665E9"/>
    <w:rsid w:val="007805B7"/>
    <w:rsid w:val="0078325B"/>
    <w:rsid w:val="00794D3A"/>
    <w:rsid w:val="007A7126"/>
    <w:rsid w:val="007B1FD8"/>
    <w:rsid w:val="007B2C46"/>
    <w:rsid w:val="007B3614"/>
    <w:rsid w:val="007B39B0"/>
    <w:rsid w:val="007D0311"/>
    <w:rsid w:val="007D2233"/>
    <w:rsid w:val="007D3B65"/>
    <w:rsid w:val="007E2DE5"/>
    <w:rsid w:val="007F007A"/>
    <w:rsid w:val="00804DE0"/>
    <w:rsid w:val="00806176"/>
    <w:rsid w:val="0080750F"/>
    <w:rsid w:val="0081240B"/>
    <w:rsid w:val="00823EC2"/>
    <w:rsid w:val="00830A20"/>
    <w:rsid w:val="00853A08"/>
    <w:rsid w:val="0085407E"/>
    <w:rsid w:val="008613D5"/>
    <w:rsid w:val="00861E56"/>
    <w:rsid w:val="00876289"/>
    <w:rsid w:val="008812B7"/>
    <w:rsid w:val="008A1CCA"/>
    <w:rsid w:val="008A5053"/>
    <w:rsid w:val="008B7880"/>
    <w:rsid w:val="008C3008"/>
    <w:rsid w:val="008D3C1B"/>
    <w:rsid w:val="008D4CC4"/>
    <w:rsid w:val="008E34E8"/>
    <w:rsid w:val="008F06CC"/>
    <w:rsid w:val="008F795C"/>
    <w:rsid w:val="00914842"/>
    <w:rsid w:val="009310E9"/>
    <w:rsid w:val="009409B3"/>
    <w:rsid w:val="00971946"/>
    <w:rsid w:val="00982D0B"/>
    <w:rsid w:val="00982FE7"/>
    <w:rsid w:val="009A7296"/>
    <w:rsid w:val="009B0041"/>
    <w:rsid w:val="009B6807"/>
    <w:rsid w:val="009C6C94"/>
    <w:rsid w:val="009E4AE3"/>
    <w:rsid w:val="009F542D"/>
    <w:rsid w:val="009F5E6A"/>
    <w:rsid w:val="00A200BA"/>
    <w:rsid w:val="00A3474F"/>
    <w:rsid w:val="00A41F8F"/>
    <w:rsid w:val="00A4346F"/>
    <w:rsid w:val="00A54304"/>
    <w:rsid w:val="00A75F35"/>
    <w:rsid w:val="00A7652F"/>
    <w:rsid w:val="00A86B1E"/>
    <w:rsid w:val="00A86D20"/>
    <w:rsid w:val="00A87141"/>
    <w:rsid w:val="00A905E3"/>
    <w:rsid w:val="00A94874"/>
    <w:rsid w:val="00A962D3"/>
    <w:rsid w:val="00AC084A"/>
    <w:rsid w:val="00AC1960"/>
    <w:rsid w:val="00AD2A55"/>
    <w:rsid w:val="00AE5B03"/>
    <w:rsid w:val="00B02216"/>
    <w:rsid w:val="00B13552"/>
    <w:rsid w:val="00B15870"/>
    <w:rsid w:val="00B33B2D"/>
    <w:rsid w:val="00B41E30"/>
    <w:rsid w:val="00B510BA"/>
    <w:rsid w:val="00B559CB"/>
    <w:rsid w:val="00B7114A"/>
    <w:rsid w:val="00B95798"/>
    <w:rsid w:val="00BB3F8E"/>
    <w:rsid w:val="00BB59B1"/>
    <w:rsid w:val="00BC27A0"/>
    <w:rsid w:val="00BE26A6"/>
    <w:rsid w:val="00BE425A"/>
    <w:rsid w:val="00BF6A93"/>
    <w:rsid w:val="00BF7F58"/>
    <w:rsid w:val="00C03A92"/>
    <w:rsid w:val="00C10F40"/>
    <w:rsid w:val="00C1105C"/>
    <w:rsid w:val="00C17774"/>
    <w:rsid w:val="00C2035C"/>
    <w:rsid w:val="00C23507"/>
    <w:rsid w:val="00C23533"/>
    <w:rsid w:val="00C26013"/>
    <w:rsid w:val="00C321FF"/>
    <w:rsid w:val="00C352D2"/>
    <w:rsid w:val="00C41956"/>
    <w:rsid w:val="00C479EF"/>
    <w:rsid w:val="00C5070C"/>
    <w:rsid w:val="00C604ED"/>
    <w:rsid w:val="00C60D77"/>
    <w:rsid w:val="00C704B4"/>
    <w:rsid w:val="00C70FDD"/>
    <w:rsid w:val="00C71843"/>
    <w:rsid w:val="00C81E5F"/>
    <w:rsid w:val="00C84DA7"/>
    <w:rsid w:val="00CB0C60"/>
    <w:rsid w:val="00CB70E5"/>
    <w:rsid w:val="00CC17F9"/>
    <w:rsid w:val="00CC2CDB"/>
    <w:rsid w:val="00CD137F"/>
    <w:rsid w:val="00CD45F0"/>
    <w:rsid w:val="00CE7F96"/>
    <w:rsid w:val="00CF640B"/>
    <w:rsid w:val="00D17D51"/>
    <w:rsid w:val="00D50329"/>
    <w:rsid w:val="00D5205A"/>
    <w:rsid w:val="00D60273"/>
    <w:rsid w:val="00D63063"/>
    <w:rsid w:val="00D64C24"/>
    <w:rsid w:val="00D72F8B"/>
    <w:rsid w:val="00D949EB"/>
    <w:rsid w:val="00D95B71"/>
    <w:rsid w:val="00DA3342"/>
    <w:rsid w:val="00DA456F"/>
    <w:rsid w:val="00DA5A39"/>
    <w:rsid w:val="00DC7932"/>
    <w:rsid w:val="00DD2892"/>
    <w:rsid w:val="00DE2DA2"/>
    <w:rsid w:val="00DE6267"/>
    <w:rsid w:val="00DE7E4F"/>
    <w:rsid w:val="00E254C2"/>
    <w:rsid w:val="00E46084"/>
    <w:rsid w:val="00E74976"/>
    <w:rsid w:val="00E7767F"/>
    <w:rsid w:val="00E8150F"/>
    <w:rsid w:val="00E839B7"/>
    <w:rsid w:val="00E87CC1"/>
    <w:rsid w:val="00EA5747"/>
    <w:rsid w:val="00EB0CFF"/>
    <w:rsid w:val="00EB696B"/>
    <w:rsid w:val="00EE433F"/>
    <w:rsid w:val="00EE4875"/>
    <w:rsid w:val="00F128E2"/>
    <w:rsid w:val="00F17BC6"/>
    <w:rsid w:val="00F201D9"/>
    <w:rsid w:val="00F261A5"/>
    <w:rsid w:val="00F31A4E"/>
    <w:rsid w:val="00F349BB"/>
    <w:rsid w:val="00F374AF"/>
    <w:rsid w:val="00F44BE8"/>
    <w:rsid w:val="00F46CA4"/>
    <w:rsid w:val="00F67F02"/>
    <w:rsid w:val="00FA6DC4"/>
    <w:rsid w:val="00FB18D5"/>
    <w:rsid w:val="00FC1BE4"/>
    <w:rsid w:val="00FC3973"/>
    <w:rsid w:val="00FC58B1"/>
    <w:rsid w:val="00FD1FA5"/>
    <w:rsid w:val="00FD2425"/>
    <w:rsid w:val="00FD3828"/>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0F34C7FE-D584-4A09-8C16-D692D3CA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lomaliye.com/2006/07/23/193-sayili-gelir-vergisi-kanununun-gecici-67-nci-maddesi-ve-5520-sayili-kurumlar-vergisi-kanununun-15-inci-ve-30-uncu-maddelerinde-yer-alan-bazi-tevkifat-nispetlerinin-yeniden-belirlenmesi-bkk-2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1885</TotalTime>
  <Pages>2</Pages>
  <Words>695</Words>
  <Characters>3968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9</cp:revision>
  <dcterms:created xsi:type="dcterms:W3CDTF">2025-12-19T13:27:00Z</dcterms:created>
  <dcterms:modified xsi:type="dcterms:W3CDTF">2026-03-30T14:38:00Z</dcterms:modified>
</cp:coreProperties>
</file>