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68EB33D7" w:rsidR="00F44BE8" w:rsidRDefault="002214A0" w:rsidP="00F44BE8">
      <w:pPr>
        <w:spacing w:after="0" w:line="240" w:lineRule="auto"/>
        <w:jc w:val="center"/>
        <w:rPr>
          <w:b/>
          <w:bCs/>
          <w:sz w:val="32"/>
          <w:szCs w:val="32"/>
        </w:rPr>
      </w:pPr>
      <w:r>
        <w:rPr>
          <w:b/>
          <w:bCs/>
          <w:sz w:val="32"/>
          <w:szCs w:val="32"/>
        </w:rPr>
        <w:t xml:space="preserve">VERGİ MEVZUATINDAKİ GELİŞMELER </w:t>
      </w:r>
      <w:r w:rsidR="00672D59" w:rsidRPr="00FC7ED4">
        <w:rPr>
          <w:b/>
          <w:bCs/>
          <w:sz w:val="32"/>
          <w:szCs w:val="32"/>
        </w:rPr>
        <w:t>202</w:t>
      </w:r>
      <w:r w:rsidR="00672D59">
        <w:rPr>
          <w:b/>
          <w:bCs/>
          <w:sz w:val="32"/>
          <w:szCs w:val="32"/>
        </w:rPr>
        <w:t>6</w:t>
      </w:r>
      <w:r w:rsidR="00672D59" w:rsidRPr="00FC7ED4">
        <w:rPr>
          <w:b/>
          <w:bCs/>
          <w:sz w:val="32"/>
          <w:szCs w:val="32"/>
        </w:rPr>
        <w:t>/</w:t>
      </w:r>
      <w:r>
        <w:rPr>
          <w:b/>
          <w:bCs/>
          <w:sz w:val="32"/>
          <w:szCs w:val="32"/>
        </w:rPr>
        <w:t>MART-2</w:t>
      </w:r>
    </w:p>
    <w:p w14:paraId="2235D047" w14:textId="0DF08B2F" w:rsidR="00F44BE8" w:rsidRDefault="00672D59" w:rsidP="00F44BE8">
      <w:pPr>
        <w:spacing w:after="0" w:line="240" w:lineRule="auto"/>
        <w:jc w:val="center"/>
        <w:rPr>
          <w:b/>
          <w:bCs/>
          <w:sz w:val="18"/>
          <w:szCs w:val="18"/>
        </w:rPr>
      </w:pPr>
      <w:r w:rsidRPr="00B54EDB">
        <w:rPr>
          <w:b/>
          <w:bCs/>
          <w:sz w:val="18"/>
          <w:szCs w:val="18"/>
        </w:rPr>
        <w:t>(</w:t>
      </w:r>
      <w:r w:rsidR="00472BCE">
        <w:rPr>
          <w:b/>
          <w:bCs/>
          <w:sz w:val="18"/>
          <w:szCs w:val="18"/>
        </w:rPr>
        <w:t>1</w:t>
      </w:r>
      <w:r w:rsidR="00C41956">
        <w:rPr>
          <w:b/>
          <w:bCs/>
          <w:sz w:val="18"/>
          <w:szCs w:val="18"/>
        </w:rPr>
        <w:t>6</w:t>
      </w:r>
      <w:r w:rsidR="00472BCE">
        <w:rPr>
          <w:b/>
          <w:bCs/>
          <w:sz w:val="18"/>
          <w:szCs w:val="18"/>
        </w:rPr>
        <w:t>.03</w:t>
      </w:r>
      <w:r>
        <w:rPr>
          <w:b/>
          <w:bCs/>
          <w:sz w:val="18"/>
          <w:szCs w:val="18"/>
        </w:rPr>
        <w:t>.2026</w:t>
      </w:r>
      <w:r w:rsidR="00C60D77">
        <w:rPr>
          <w:b/>
          <w:bCs/>
          <w:sz w:val="18"/>
          <w:szCs w:val="18"/>
        </w:rPr>
        <w:t>-</w:t>
      </w:r>
      <w:r w:rsidR="00472BCE">
        <w:rPr>
          <w:b/>
          <w:bCs/>
          <w:sz w:val="18"/>
          <w:szCs w:val="18"/>
        </w:rPr>
        <w:t>1</w:t>
      </w:r>
      <w:r w:rsidR="00E87CC1">
        <w:rPr>
          <w:b/>
          <w:bCs/>
          <w:sz w:val="18"/>
          <w:szCs w:val="18"/>
        </w:rPr>
        <w:t>7</w:t>
      </w:r>
      <w:r w:rsidR="00C60D77">
        <w:rPr>
          <w:b/>
          <w:bCs/>
          <w:sz w:val="18"/>
          <w:szCs w:val="18"/>
        </w:rPr>
        <w:t>.03.2026</w:t>
      </w:r>
      <w:r w:rsidRPr="00B54EDB">
        <w:rPr>
          <w:b/>
          <w:bCs/>
          <w:sz w:val="18"/>
          <w:szCs w:val="18"/>
        </w:rPr>
        <w:t>)</w:t>
      </w:r>
    </w:p>
    <w:p w14:paraId="6A5FB738" w14:textId="77777777" w:rsidR="00C23507" w:rsidRDefault="00C23507"/>
    <w:p w14:paraId="1982D677" w14:textId="77777777" w:rsidR="00B124DB" w:rsidRDefault="00B124DB"/>
    <w:p w14:paraId="2B965EED" w14:textId="7AAB7AD5" w:rsidR="00C41956" w:rsidRPr="00C41956" w:rsidRDefault="00C41956" w:rsidP="00C41956">
      <w:pPr>
        <w:jc w:val="both"/>
        <w:rPr>
          <w:b/>
          <w:bCs/>
          <w:sz w:val="26"/>
          <w:szCs w:val="26"/>
        </w:rPr>
      </w:pPr>
      <w:r>
        <w:rPr>
          <w:b/>
          <w:bCs/>
          <w:sz w:val="26"/>
          <w:szCs w:val="26"/>
        </w:rPr>
        <w:t xml:space="preserve">I- GELİR İDARESİ BAŞKANLIĞI TARAFINDAN </w:t>
      </w:r>
      <w:r w:rsidRPr="00C41956">
        <w:rPr>
          <w:b/>
          <w:bCs/>
          <w:sz w:val="26"/>
          <w:szCs w:val="26"/>
        </w:rPr>
        <w:t>49 SIRA NO</w:t>
      </w:r>
      <w:r w:rsidR="009C6C94">
        <w:rPr>
          <w:b/>
          <w:bCs/>
          <w:sz w:val="26"/>
          <w:szCs w:val="26"/>
        </w:rPr>
        <w:t>’</w:t>
      </w:r>
      <w:r w:rsidRPr="00C41956">
        <w:rPr>
          <w:b/>
          <w:bCs/>
          <w:sz w:val="26"/>
          <w:szCs w:val="26"/>
        </w:rPr>
        <w:t>LU SMMM VE YMM KANUNU GENEL TEBLİĞİ İLE GELİR VERGİSİ İSTİSNA, İNDİRİM VE UYGULAMA TASDİK RAPORUNUN KAPSAMI HAKKINDA DUYURU</w:t>
      </w:r>
      <w:r>
        <w:rPr>
          <w:b/>
          <w:bCs/>
          <w:sz w:val="26"/>
          <w:szCs w:val="26"/>
        </w:rPr>
        <w:t xml:space="preserve"> YAYIMLANMIŞTIR</w:t>
      </w:r>
    </w:p>
    <w:p w14:paraId="66267B2A" w14:textId="08511C0F" w:rsidR="00C41956" w:rsidRDefault="00C41956" w:rsidP="00C41956">
      <w:pPr>
        <w:jc w:val="both"/>
      </w:pPr>
      <w:r w:rsidRPr="00C41956">
        <w:t xml:space="preserve">16 Mart 2026 tarihinde Gelir İdaresi Başkanlığı </w:t>
      </w:r>
      <w:r>
        <w:t>t</w:t>
      </w:r>
      <w:r w:rsidRPr="00C41956">
        <w:t xml:space="preserve">arafından </w:t>
      </w:r>
      <w:r>
        <w:t>“</w:t>
      </w:r>
      <w:r w:rsidRPr="00C41956">
        <w:t xml:space="preserve">49 Sıra </w:t>
      </w:r>
      <w:proofErr w:type="spellStart"/>
      <w:r w:rsidRPr="00C41956">
        <w:t>No</w:t>
      </w:r>
      <w:r>
        <w:t>’l</w:t>
      </w:r>
      <w:r w:rsidRPr="00C41956">
        <w:t>u</w:t>
      </w:r>
      <w:proofErr w:type="spellEnd"/>
      <w:r w:rsidRPr="00C41956">
        <w:t xml:space="preserve"> S</w:t>
      </w:r>
      <w:r>
        <w:t>MMM</w:t>
      </w:r>
      <w:r w:rsidRPr="00C41956">
        <w:t xml:space="preserve"> </w:t>
      </w:r>
      <w:r>
        <w:t>v</w:t>
      </w:r>
      <w:r w:rsidRPr="00C41956">
        <w:t>e Y</w:t>
      </w:r>
      <w:r>
        <w:t>MM</w:t>
      </w:r>
      <w:r w:rsidRPr="00C41956">
        <w:t xml:space="preserve"> Kanunu Genel Tebliği </w:t>
      </w:r>
      <w:r w:rsidR="009C6C94">
        <w:t>i</w:t>
      </w:r>
      <w:r w:rsidRPr="00C41956">
        <w:t xml:space="preserve">le Gelir Vergisi İstisna, İndirim </w:t>
      </w:r>
      <w:r w:rsidR="009C6C94">
        <w:t>v</w:t>
      </w:r>
      <w:r w:rsidRPr="00C41956">
        <w:t>e Uygulama Tasdik Raporunun Kapsamı Hakkında Duyuru</w:t>
      </w:r>
      <w:r>
        <w:t>”</w:t>
      </w:r>
      <w:r w:rsidRPr="00C41956">
        <w:t xml:space="preserve"> </w:t>
      </w:r>
      <w:r>
        <w:t>y</w:t>
      </w:r>
      <w:r w:rsidRPr="00C41956">
        <w:t>ayımlanmıştır</w:t>
      </w:r>
      <w:r>
        <w:t xml:space="preserve">. </w:t>
      </w:r>
    </w:p>
    <w:p w14:paraId="74CC3298" w14:textId="30640D1F" w:rsidR="00C41956" w:rsidRDefault="00C41956" w:rsidP="00C41956">
      <w:pPr>
        <w:jc w:val="both"/>
      </w:pPr>
      <w:r>
        <w:t xml:space="preserve">Duyuruda, </w:t>
      </w:r>
      <w:r w:rsidRPr="00C41956">
        <w:rPr>
          <w:i/>
          <w:iCs/>
        </w:rPr>
        <w:t>“Başkanlığımıza intikal eden olaylardan, gelir vergisi mükelleflerinden ücret, kira, menkul sermaye iradı ve değer artışı kazancı elde eden ve defter tutma yükümlülüğü bulunmayan kişiler için tasdik zorunluluğunun bulunup bulunmadığı ile Gelir Vergisi Kanunu’nun 89/2’nci maddesinde yer alan eğitim ve sağlık harcamalarının Tebliğ kapsamında olup olmadığı hususlarında tereddütlerin yaşandığı anlaşılmış olup aşağıdaki açıklamaların yapılması gerekli görülmüştür.”</w:t>
      </w:r>
      <w:r>
        <w:t xml:space="preserve"> şeklinde belirleme yapılmıştır. Buna göre;</w:t>
      </w:r>
    </w:p>
    <w:p w14:paraId="5A83174A" w14:textId="77777777" w:rsidR="00C41956" w:rsidRPr="00C41956" w:rsidRDefault="00C41956" w:rsidP="00C41956">
      <w:pPr>
        <w:shd w:val="clear" w:color="auto" w:fill="F2F2F2" w:themeFill="background1" w:themeFillShade="F2"/>
        <w:jc w:val="both"/>
        <w:rPr>
          <w:i/>
          <w:iCs/>
          <w:sz w:val="20"/>
          <w:szCs w:val="20"/>
        </w:rPr>
      </w:pPr>
      <w:r w:rsidRPr="00C41956">
        <w:rPr>
          <w:i/>
          <w:iCs/>
          <w:sz w:val="20"/>
          <w:szCs w:val="20"/>
        </w:rPr>
        <w:t>“</w:t>
      </w:r>
      <w:r w:rsidRPr="00C41956">
        <w:rPr>
          <w:b/>
          <w:bCs/>
          <w:i/>
          <w:iCs/>
          <w:sz w:val="20"/>
          <w:szCs w:val="20"/>
        </w:rPr>
        <w:t>1-</w:t>
      </w:r>
      <w:r w:rsidRPr="00C41956">
        <w:rPr>
          <w:i/>
          <w:iCs/>
          <w:sz w:val="20"/>
          <w:szCs w:val="20"/>
        </w:rPr>
        <w:t xml:space="preserve"> Tebliğ ile getirilen tasdik zorunluluğu, yalnızca </w:t>
      </w:r>
      <w:r w:rsidRPr="00C41956">
        <w:rPr>
          <w:b/>
          <w:bCs/>
          <w:i/>
          <w:iCs/>
          <w:sz w:val="20"/>
          <w:szCs w:val="20"/>
        </w:rPr>
        <w:t>ticari, zirai veya serbest meslek kazancı nedeniyle yıllık gelir vergisi beyannamesini Beyanname Düzenleme Programı (BDP) kapsamında düzenleyen</w:t>
      </w:r>
      <w:r w:rsidRPr="00C41956">
        <w:rPr>
          <w:i/>
          <w:iCs/>
          <w:sz w:val="20"/>
          <w:szCs w:val="20"/>
        </w:rPr>
        <w:t> mükellefler bakımından söz konusu olmakta olup </w:t>
      </w:r>
      <w:r w:rsidRPr="00C41956">
        <w:rPr>
          <w:b/>
          <w:bCs/>
          <w:i/>
          <w:iCs/>
          <w:sz w:val="20"/>
          <w:szCs w:val="20"/>
        </w:rPr>
        <w:t>ücret, kira, menkul sermaye iradı ve değer artışı kazancı elde eden ve defter tutma yükümlülüğü bulunmayan</w:t>
      </w:r>
      <w:r w:rsidRPr="00C41956">
        <w:rPr>
          <w:i/>
          <w:iCs/>
          <w:sz w:val="20"/>
          <w:szCs w:val="20"/>
        </w:rPr>
        <w:t> gelir vergisi mükellefleri için tasdik zorunluluğu bulunmamaktadır.</w:t>
      </w:r>
    </w:p>
    <w:p w14:paraId="722149FF" w14:textId="69834A42" w:rsidR="00C41956" w:rsidRPr="00C41956" w:rsidRDefault="00C41956" w:rsidP="00C41956">
      <w:pPr>
        <w:shd w:val="clear" w:color="auto" w:fill="F2F2F2" w:themeFill="background1" w:themeFillShade="F2"/>
        <w:jc w:val="both"/>
        <w:rPr>
          <w:i/>
          <w:iCs/>
          <w:sz w:val="20"/>
          <w:szCs w:val="20"/>
        </w:rPr>
      </w:pPr>
      <w:r w:rsidRPr="00C41956">
        <w:rPr>
          <w:b/>
          <w:bCs/>
          <w:i/>
          <w:iCs/>
          <w:sz w:val="20"/>
          <w:szCs w:val="20"/>
        </w:rPr>
        <w:t>2-</w:t>
      </w:r>
      <w:r w:rsidRPr="00C41956">
        <w:rPr>
          <w:i/>
          <w:iCs/>
          <w:sz w:val="20"/>
          <w:szCs w:val="20"/>
        </w:rPr>
        <w:t xml:space="preserve"> Tasdik zorunluluğu gelir vergisi beyannamesinde yer alan tüm istisna ve indirimleri kapsayan genel bir yükümlülük olmayıp, Tebliğin 4’üncü maddesinin ikinci fıkrasında yer alan tabloda sayılan istisna, indirim ve uygulamalarla sınırlı olarak uygulanacaktır.</w:t>
      </w:r>
    </w:p>
    <w:p w14:paraId="0220ACDC" w14:textId="77777777" w:rsidR="00C41956" w:rsidRPr="00C41956" w:rsidRDefault="00C41956" w:rsidP="00C41956">
      <w:pPr>
        <w:shd w:val="clear" w:color="auto" w:fill="F2F2F2" w:themeFill="background1" w:themeFillShade="F2"/>
        <w:jc w:val="both"/>
        <w:rPr>
          <w:i/>
          <w:iCs/>
          <w:sz w:val="20"/>
          <w:szCs w:val="20"/>
        </w:rPr>
      </w:pPr>
      <w:r w:rsidRPr="00C41956">
        <w:rPr>
          <w:b/>
          <w:bCs/>
          <w:i/>
          <w:iCs/>
          <w:sz w:val="20"/>
          <w:szCs w:val="20"/>
        </w:rPr>
        <w:t>3-</w:t>
      </w:r>
      <w:r w:rsidRPr="00C41956">
        <w:rPr>
          <w:i/>
          <w:iCs/>
          <w:sz w:val="20"/>
          <w:szCs w:val="20"/>
        </w:rPr>
        <w:t xml:space="preserve"> Yıllık gelir vergisi beyannamesinde müstakil satırda yer alan;</w:t>
      </w:r>
    </w:p>
    <w:p w14:paraId="3A9412B8" w14:textId="5CFE3A71" w:rsidR="00C41956" w:rsidRPr="00C41956" w:rsidRDefault="00C41956" w:rsidP="00C41956">
      <w:pPr>
        <w:shd w:val="clear" w:color="auto" w:fill="F2F2F2" w:themeFill="background1" w:themeFillShade="F2"/>
        <w:jc w:val="both"/>
        <w:rPr>
          <w:i/>
          <w:iCs/>
          <w:sz w:val="20"/>
          <w:szCs w:val="20"/>
        </w:rPr>
      </w:pPr>
      <w:r w:rsidRPr="00C41956">
        <w:rPr>
          <w:i/>
          <w:iCs/>
          <w:sz w:val="20"/>
          <w:szCs w:val="20"/>
        </w:rPr>
        <w:t>- Şahıs sigorta primleri indirimi (GVK 89/1)</w:t>
      </w:r>
    </w:p>
    <w:p w14:paraId="5D9EE96C" w14:textId="3C3BCB97" w:rsidR="00C41956" w:rsidRPr="00C41956" w:rsidRDefault="00C41956" w:rsidP="00C41956">
      <w:pPr>
        <w:shd w:val="clear" w:color="auto" w:fill="F2F2F2" w:themeFill="background1" w:themeFillShade="F2"/>
        <w:jc w:val="both"/>
        <w:rPr>
          <w:i/>
          <w:iCs/>
          <w:sz w:val="20"/>
          <w:szCs w:val="20"/>
        </w:rPr>
      </w:pPr>
      <w:r w:rsidRPr="00C41956">
        <w:rPr>
          <w:i/>
          <w:iCs/>
          <w:sz w:val="20"/>
          <w:szCs w:val="20"/>
        </w:rPr>
        <w:t>- Eğitim ve sağlık harcamaları indirimi (GVK 89/2)</w:t>
      </w:r>
    </w:p>
    <w:p w14:paraId="346DB724" w14:textId="3835983D" w:rsidR="00C41956" w:rsidRPr="00C41956" w:rsidRDefault="00C41956" w:rsidP="00C41956">
      <w:pPr>
        <w:shd w:val="clear" w:color="auto" w:fill="F2F2F2" w:themeFill="background1" w:themeFillShade="F2"/>
        <w:jc w:val="both"/>
        <w:rPr>
          <w:i/>
          <w:iCs/>
          <w:sz w:val="20"/>
          <w:szCs w:val="20"/>
        </w:rPr>
      </w:pPr>
      <w:proofErr w:type="gramStart"/>
      <w:r w:rsidRPr="00C41956">
        <w:rPr>
          <w:i/>
          <w:iCs/>
          <w:sz w:val="20"/>
          <w:szCs w:val="20"/>
        </w:rPr>
        <w:t>gibi</w:t>
      </w:r>
      <w:proofErr w:type="gramEnd"/>
      <w:r w:rsidRPr="00C41956">
        <w:rPr>
          <w:i/>
          <w:iCs/>
          <w:sz w:val="20"/>
          <w:szCs w:val="20"/>
        </w:rPr>
        <w:t xml:space="preserve"> indirimler, Tebliğin 4’üncü maddesinin ikinci fıkrasında yer alan tabloda sayılan indirimler arasında bulunmadığından, bu indirimler bakımından YMM tasdik raporu düzenlenmesi zorunluluğu bulunmamaktadır.”</w:t>
      </w:r>
    </w:p>
    <w:p w14:paraId="751BD94F" w14:textId="673A51BB" w:rsidR="009C6C94" w:rsidRDefault="009C6C94" w:rsidP="00472BCE">
      <w:pPr>
        <w:jc w:val="both"/>
      </w:pPr>
      <w:r>
        <w:t>Duyuruya Gelir İdaresi Başkanlığı’nın web sitesinden ulaşmak mümkündür.</w:t>
      </w:r>
    </w:p>
    <w:p w14:paraId="043EAF3B" w14:textId="2AAE205A" w:rsidR="00C41956" w:rsidRPr="00C41956" w:rsidRDefault="00C41956" w:rsidP="00472BCE">
      <w:pPr>
        <w:jc w:val="both"/>
      </w:pPr>
      <w:r>
        <w:t>Duyuruda kurumlar vergisi mükellefleri için bir açıklama getirilmemiştir. Önümüzdeki günlerde bu konuda da bir açıklama yapılması beklenmektedir.</w:t>
      </w:r>
    </w:p>
    <w:p w14:paraId="467DC70E" w14:textId="77777777" w:rsidR="00B124DB" w:rsidRDefault="00B124DB" w:rsidP="00472BCE">
      <w:pPr>
        <w:jc w:val="both"/>
        <w:rPr>
          <w:b/>
          <w:bCs/>
          <w:sz w:val="26"/>
          <w:szCs w:val="26"/>
        </w:rPr>
      </w:pPr>
    </w:p>
    <w:p w14:paraId="5716892C" w14:textId="77777777" w:rsidR="00B124DB" w:rsidRDefault="00B124DB" w:rsidP="00472BCE">
      <w:pPr>
        <w:jc w:val="both"/>
        <w:rPr>
          <w:b/>
          <w:bCs/>
          <w:sz w:val="26"/>
          <w:szCs w:val="26"/>
        </w:rPr>
      </w:pPr>
    </w:p>
    <w:p w14:paraId="0F20EB18" w14:textId="77777777" w:rsidR="00B124DB" w:rsidRDefault="00B124DB" w:rsidP="00472BCE">
      <w:pPr>
        <w:jc w:val="both"/>
        <w:rPr>
          <w:b/>
          <w:bCs/>
          <w:sz w:val="26"/>
          <w:szCs w:val="26"/>
        </w:rPr>
      </w:pPr>
    </w:p>
    <w:p w14:paraId="605CFACA" w14:textId="77777777" w:rsidR="00B124DB" w:rsidRDefault="00B124DB" w:rsidP="00472BCE">
      <w:pPr>
        <w:jc w:val="both"/>
        <w:rPr>
          <w:b/>
          <w:bCs/>
          <w:sz w:val="26"/>
          <w:szCs w:val="26"/>
        </w:rPr>
      </w:pPr>
    </w:p>
    <w:p w14:paraId="1FADDAED" w14:textId="7CE7B6CE" w:rsidR="003A0090" w:rsidRDefault="00672D59" w:rsidP="00472BCE">
      <w:pPr>
        <w:jc w:val="both"/>
        <w:rPr>
          <w:b/>
          <w:bCs/>
          <w:sz w:val="26"/>
          <w:szCs w:val="26"/>
        </w:rPr>
      </w:pPr>
      <w:r w:rsidRPr="00691FAA">
        <w:rPr>
          <w:b/>
          <w:bCs/>
          <w:sz w:val="26"/>
          <w:szCs w:val="26"/>
        </w:rPr>
        <w:lastRenderedPageBreak/>
        <w:t>I</w:t>
      </w:r>
      <w:r w:rsidR="00C41956">
        <w:rPr>
          <w:b/>
          <w:bCs/>
          <w:sz w:val="26"/>
          <w:szCs w:val="26"/>
        </w:rPr>
        <w:t>I</w:t>
      </w:r>
      <w:r w:rsidRPr="00691FAA">
        <w:rPr>
          <w:b/>
          <w:bCs/>
          <w:sz w:val="26"/>
          <w:szCs w:val="26"/>
        </w:rPr>
        <w:t xml:space="preserve">- </w:t>
      </w:r>
      <w:r w:rsidR="00472BCE">
        <w:rPr>
          <w:b/>
          <w:bCs/>
          <w:sz w:val="26"/>
          <w:szCs w:val="26"/>
        </w:rPr>
        <w:t>HONG KONG İLE YAPILAN ÇİFTE VERGİLENDİRMEYİ ÖNLEME ANLAŞMASI YÜRÜRLÜĞE GİRMİŞTİR</w:t>
      </w:r>
    </w:p>
    <w:p w14:paraId="6446C7F1" w14:textId="33731EC7" w:rsidR="00472BCE" w:rsidRDefault="00472BCE" w:rsidP="00472BCE">
      <w:pPr>
        <w:jc w:val="both"/>
      </w:pPr>
      <w:r>
        <w:t>17 Mart 2026 tarihli ve 33199 sayılı Resm</w:t>
      </w:r>
      <w:r w:rsidR="00FA6DC4">
        <w:t>î</w:t>
      </w:r>
      <w:r>
        <w:t xml:space="preserve"> </w:t>
      </w:r>
      <w:proofErr w:type="spellStart"/>
      <w:r>
        <w:t>Gazete’de</w:t>
      </w:r>
      <w:proofErr w:type="spellEnd"/>
      <w:r>
        <w:t xml:space="preserve"> yayımlanan 11064 sayılı Cumhurbaşkanı Kararı ile anılan Karara ekli listede belirtilen anlaşmaların yürürlük tarihi tespit edilmiştir. Söz konusu listede 1 ve 2. sırada Hong Kong ile yapılan anlaşmaların yürürlük tarihi belirlenmiştir. Buna göre;</w:t>
      </w:r>
    </w:p>
    <w:p w14:paraId="187DC40B" w14:textId="005377DE" w:rsidR="00472BCE" w:rsidRDefault="00472BCE" w:rsidP="00472BCE">
      <w:pPr>
        <w:jc w:val="both"/>
      </w:pPr>
      <w:r w:rsidRPr="00FA6DC4">
        <w:rPr>
          <w:b/>
          <w:bCs/>
        </w:rPr>
        <w:t>a.</w:t>
      </w:r>
      <w:r>
        <w:t xml:space="preserve"> 31 Ekim 2023 tarihinde imzalanan “Türkiye Cumhuriyeti Hükümeti ile Çin Halk Cumhuriyeti Hong Kong Özel İdari Bölgesi Hükümeti Arasında Yatırımların Karşılıklı Teşviki ve Korunmasına İlişkin Anlaşma” 04 Şubat 2026 tarihinde yürürlüğe girmiştir.</w:t>
      </w:r>
    </w:p>
    <w:p w14:paraId="432165D9" w14:textId="694D77A4" w:rsidR="00472BCE" w:rsidRDefault="00472BCE" w:rsidP="00472BCE">
      <w:pPr>
        <w:jc w:val="both"/>
      </w:pPr>
      <w:r w:rsidRPr="00FA6DC4">
        <w:rPr>
          <w:b/>
          <w:bCs/>
        </w:rPr>
        <w:t xml:space="preserve">b. </w:t>
      </w:r>
      <w:r w:rsidR="00FA6DC4">
        <w:t xml:space="preserve">24 Eylül 2024 tarihinde imzalanan </w:t>
      </w:r>
      <w:r>
        <w:t xml:space="preserve">“Türkiye Cumhuriyeti Hükümeti ile Çin Halk Cumhuriyeti Hong Kong Özel İdari Bölgesi Hükümeti Arasında Gelir Üzerinden Alınan Vergilerde Çifte Vergilendirmeyi Önleme ve Vergi Kaçakçılığı ile Vergiden Kaçınmaya Engel Olma </w:t>
      </w:r>
      <w:r w:rsidR="00FA6DC4">
        <w:t>Anlaşması” ve “Protokol” 30 Ocak 2026 tarihinde yürürlüğe girmiştir.</w:t>
      </w:r>
    </w:p>
    <w:p w14:paraId="4113C5EB" w14:textId="77777777" w:rsidR="00472BCE" w:rsidRDefault="00472BCE" w:rsidP="00472BCE">
      <w:pPr>
        <w:jc w:val="both"/>
      </w:pPr>
    </w:p>
    <w:p w14:paraId="171CB069" w14:textId="1DB1A548" w:rsidR="00FA6DC4" w:rsidRPr="00FA6DC4" w:rsidRDefault="00FA6DC4" w:rsidP="00472BCE">
      <w:pPr>
        <w:jc w:val="both"/>
        <w:rPr>
          <w:b/>
          <w:bCs/>
          <w:sz w:val="26"/>
          <w:szCs w:val="26"/>
        </w:rPr>
      </w:pPr>
      <w:r w:rsidRPr="00FA6DC4">
        <w:rPr>
          <w:b/>
          <w:bCs/>
          <w:sz w:val="26"/>
          <w:szCs w:val="26"/>
        </w:rPr>
        <w:t>I</w:t>
      </w:r>
      <w:r w:rsidR="00C41956">
        <w:rPr>
          <w:b/>
          <w:bCs/>
          <w:sz w:val="26"/>
          <w:szCs w:val="26"/>
        </w:rPr>
        <w:t>I</w:t>
      </w:r>
      <w:r w:rsidRPr="00FA6DC4">
        <w:rPr>
          <w:b/>
          <w:bCs/>
          <w:sz w:val="26"/>
          <w:szCs w:val="26"/>
        </w:rPr>
        <w:t xml:space="preserve">I- BAĞIMSIZ DENETİME TABİ ŞİRKETLERİN BELİRLENMESİNE DAİR KARARDA DEĞİŞİKLİK YAPILMASINA İLİŞKİN </w:t>
      </w:r>
      <w:r>
        <w:rPr>
          <w:b/>
          <w:bCs/>
          <w:sz w:val="26"/>
          <w:szCs w:val="26"/>
        </w:rPr>
        <w:t xml:space="preserve">11066 SAYILI </w:t>
      </w:r>
      <w:r w:rsidRPr="00FA6DC4">
        <w:rPr>
          <w:b/>
          <w:bCs/>
          <w:sz w:val="26"/>
          <w:szCs w:val="26"/>
        </w:rPr>
        <w:t xml:space="preserve">KARAR </w:t>
      </w:r>
      <w:r>
        <w:rPr>
          <w:b/>
          <w:bCs/>
          <w:sz w:val="26"/>
          <w:szCs w:val="26"/>
        </w:rPr>
        <w:t>YAYIMLANMIŞTIR</w:t>
      </w:r>
    </w:p>
    <w:p w14:paraId="373A9A6C" w14:textId="263292AB" w:rsidR="00472BCE" w:rsidRDefault="00FA6DC4" w:rsidP="00472BCE">
      <w:pPr>
        <w:jc w:val="both"/>
      </w:pPr>
      <w:r>
        <w:t xml:space="preserve">17 Mart 2026 tarihli ve 33199 sayılı Resmî </w:t>
      </w:r>
      <w:proofErr w:type="spellStart"/>
      <w:r>
        <w:t>Gazete’de</w:t>
      </w:r>
      <w:proofErr w:type="spellEnd"/>
      <w:r>
        <w:t xml:space="preserve"> yayımlanan 11066 Sayılı Cumhurbaşkanı Kararı ile bağımsız denetime tabi şirketler için zorunlu olan kriterler yeniden belirlenmiştir. Söz konusu Kararın 1. ve 2. maddelerinde belirlenen yeni kriterler aşağıdaki gibidir:</w:t>
      </w:r>
    </w:p>
    <w:p w14:paraId="027C3DCF" w14:textId="5DD2628E" w:rsidR="00FA6DC4" w:rsidRPr="00FA6DC4" w:rsidRDefault="00FA6DC4" w:rsidP="00FA6DC4">
      <w:pPr>
        <w:shd w:val="clear" w:color="auto" w:fill="F2F2F2" w:themeFill="background1" w:themeFillShade="F2"/>
        <w:jc w:val="both"/>
        <w:rPr>
          <w:i/>
          <w:iCs/>
          <w:sz w:val="20"/>
          <w:szCs w:val="20"/>
        </w:rPr>
      </w:pPr>
      <w:r w:rsidRPr="00FA6DC4">
        <w:rPr>
          <w:i/>
          <w:iCs/>
          <w:sz w:val="20"/>
          <w:szCs w:val="20"/>
        </w:rPr>
        <w:t>“</w:t>
      </w:r>
      <w:r w:rsidRPr="00FA6DC4">
        <w:rPr>
          <w:b/>
          <w:bCs/>
          <w:i/>
          <w:iCs/>
          <w:sz w:val="20"/>
          <w:szCs w:val="20"/>
        </w:rPr>
        <w:t>MADDE 1</w:t>
      </w:r>
      <w:r w:rsidRPr="00FA6DC4">
        <w:rPr>
          <w:i/>
          <w:iCs/>
          <w:sz w:val="20"/>
          <w:szCs w:val="20"/>
        </w:rPr>
        <w:t>– 29/11/2022 tarihli ve 6434 sayılı Cumhurbaşkanı Kararı ile yürürlüğe konulan </w:t>
      </w:r>
      <w:hyperlink r:id="rId7" w:history="1">
        <w:r w:rsidRPr="00FA6DC4">
          <w:rPr>
            <w:rStyle w:val="Kpr"/>
            <w:i/>
            <w:iCs/>
            <w:color w:val="auto"/>
            <w:sz w:val="20"/>
            <w:szCs w:val="20"/>
            <w:u w:val="none"/>
          </w:rPr>
          <w:t>Bağımsız Denetime Tabi Şirketlerin Belirlenmesine Dair Kararın</w:t>
        </w:r>
      </w:hyperlink>
      <w:r w:rsidRPr="00FA6DC4">
        <w:rPr>
          <w:i/>
          <w:iCs/>
          <w:sz w:val="20"/>
          <w:szCs w:val="20"/>
        </w:rPr>
        <w:t> 3’üncü maddesinin birinci fıkrasının (b) bendinin (3) numaralı alt bendi aşağıdaki şekilde değiştirilmiştir.</w:t>
      </w:r>
    </w:p>
    <w:p w14:paraId="735BE4AB" w14:textId="77777777" w:rsidR="00FA6DC4" w:rsidRPr="00FA6DC4" w:rsidRDefault="00FA6DC4" w:rsidP="00FA6DC4">
      <w:pPr>
        <w:shd w:val="clear" w:color="auto" w:fill="F2F2F2" w:themeFill="background1" w:themeFillShade="F2"/>
        <w:jc w:val="both"/>
        <w:rPr>
          <w:i/>
          <w:iCs/>
          <w:sz w:val="20"/>
          <w:szCs w:val="20"/>
        </w:rPr>
      </w:pPr>
      <w:r w:rsidRPr="00FA6DC4">
        <w:rPr>
          <w:i/>
          <w:iCs/>
          <w:sz w:val="20"/>
          <w:szCs w:val="20"/>
        </w:rPr>
        <w:t>“3) (1) ve (2) numaralı alt bentlerde belirtilenler kapsamında olmayan şirketler için eşik değerler:</w:t>
      </w:r>
    </w:p>
    <w:p w14:paraId="2760765A" w14:textId="77777777" w:rsidR="00FA6DC4" w:rsidRPr="00FA6DC4" w:rsidRDefault="00FA6DC4" w:rsidP="00FA6DC4">
      <w:pPr>
        <w:shd w:val="clear" w:color="auto" w:fill="F2F2F2" w:themeFill="background1" w:themeFillShade="F2"/>
        <w:jc w:val="both"/>
        <w:rPr>
          <w:b/>
          <w:bCs/>
          <w:i/>
          <w:iCs/>
          <w:sz w:val="20"/>
          <w:szCs w:val="20"/>
        </w:rPr>
      </w:pPr>
      <w:r w:rsidRPr="00FA6DC4">
        <w:rPr>
          <w:b/>
          <w:bCs/>
          <w:i/>
          <w:iCs/>
          <w:sz w:val="20"/>
          <w:szCs w:val="20"/>
        </w:rPr>
        <w:t>i) Aktif toplamı 500 milyon Türk Lirası.</w:t>
      </w:r>
    </w:p>
    <w:p w14:paraId="3AA91969" w14:textId="77777777" w:rsidR="00FA6DC4" w:rsidRPr="00FA6DC4" w:rsidRDefault="00FA6DC4" w:rsidP="00FA6DC4">
      <w:pPr>
        <w:shd w:val="clear" w:color="auto" w:fill="F2F2F2" w:themeFill="background1" w:themeFillShade="F2"/>
        <w:jc w:val="both"/>
        <w:rPr>
          <w:b/>
          <w:bCs/>
          <w:i/>
          <w:iCs/>
          <w:sz w:val="20"/>
          <w:szCs w:val="20"/>
        </w:rPr>
      </w:pPr>
      <w:r w:rsidRPr="00FA6DC4">
        <w:rPr>
          <w:b/>
          <w:bCs/>
          <w:i/>
          <w:iCs/>
          <w:sz w:val="20"/>
          <w:szCs w:val="20"/>
        </w:rPr>
        <w:t>ii) Yıllık net satış hasılatı 1 milyar Türk Lirası.</w:t>
      </w:r>
    </w:p>
    <w:p w14:paraId="0440AC43" w14:textId="77777777" w:rsidR="00FA6DC4" w:rsidRPr="00FA6DC4" w:rsidRDefault="00FA6DC4" w:rsidP="00FA6DC4">
      <w:pPr>
        <w:shd w:val="clear" w:color="auto" w:fill="F2F2F2" w:themeFill="background1" w:themeFillShade="F2"/>
        <w:jc w:val="both"/>
      </w:pPr>
      <w:r w:rsidRPr="00FA6DC4">
        <w:rPr>
          <w:b/>
          <w:bCs/>
          <w:i/>
          <w:iCs/>
          <w:sz w:val="20"/>
          <w:szCs w:val="20"/>
        </w:rPr>
        <w:t>iii) Çalışan sayısı 150 kişi.</w:t>
      </w:r>
      <w:r w:rsidRPr="00FA6DC4">
        <w:rPr>
          <w:i/>
          <w:iCs/>
          <w:sz w:val="20"/>
          <w:szCs w:val="20"/>
        </w:rPr>
        <w:t>”</w:t>
      </w:r>
    </w:p>
    <w:p w14:paraId="23F7C0CA" w14:textId="1FEA5649" w:rsidR="00FA6DC4" w:rsidRPr="00FA6DC4" w:rsidRDefault="00FA6DC4" w:rsidP="00FA6DC4">
      <w:pPr>
        <w:shd w:val="clear" w:color="auto" w:fill="F2F2F2" w:themeFill="background1" w:themeFillShade="F2"/>
        <w:jc w:val="both"/>
        <w:rPr>
          <w:i/>
          <w:iCs/>
          <w:sz w:val="20"/>
          <w:szCs w:val="20"/>
        </w:rPr>
      </w:pPr>
      <w:r w:rsidRPr="00FA6DC4">
        <w:rPr>
          <w:b/>
          <w:bCs/>
          <w:i/>
          <w:iCs/>
          <w:sz w:val="20"/>
          <w:szCs w:val="20"/>
        </w:rPr>
        <w:t>MADDE 2</w:t>
      </w:r>
      <w:r w:rsidRPr="00FA6DC4">
        <w:rPr>
          <w:i/>
          <w:iCs/>
          <w:sz w:val="20"/>
          <w:szCs w:val="20"/>
        </w:rPr>
        <w:t>– Aynı Karara ekli (I) sayılı listenin 9</w:t>
      </w:r>
      <w:r>
        <w:rPr>
          <w:i/>
          <w:iCs/>
          <w:sz w:val="20"/>
          <w:szCs w:val="20"/>
        </w:rPr>
        <w:t>’</w:t>
      </w:r>
      <w:r w:rsidRPr="00FA6DC4">
        <w:rPr>
          <w:i/>
          <w:iCs/>
          <w:sz w:val="20"/>
          <w:szCs w:val="20"/>
        </w:rPr>
        <w:t>uncu sırası aşağıdaki şekilde değiştirilmiştir.</w:t>
      </w:r>
    </w:p>
    <w:p w14:paraId="72ABCB10" w14:textId="77777777" w:rsidR="00FA6DC4" w:rsidRPr="00FA6DC4" w:rsidRDefault="00FA6DC4" w:rsidP="00FA6DC4">
      <w:pPr>
        <w:shd w:val="clear" w:color="auto" w:fill="F2F2F2" w:themeFill="background1" w:themeFillShade="F2"/>
        <w:jc w:val="both"/>
        <w:rPr>
          <w:i/>
          <w:iCs/>
          <w:sz w:val="20"/>
          <w:szCs w:val="20"/>
        </w:rPr>
      </w:pPr>
      <w:r w:rsidRPr="00FA6DC4">
        <w:rPr>
          <w:i/>
          <w:iCs/>
          <w:sz w:val="20"/>
          <w:szCs w:val="20"/>
        </w:rPr>
        <w:t>“9) 8/6/1984 tarihli ve </w:t>
      </w:r>
      <w:hyperlink r:id="rId8" w:history="1">
        <w:r w:rsidRPr="00FA6DC4">
          <w:rPr>
            <w:rStyle w:val="Kpr"/>
            <w:i/>
            <w:iCs/>
            <w:color w:val="auto"/>
            <w:sz w:val="20"/>
            <w:szCs w:val="20"/>
            <w:u w:val="none"/>
          </w:rPr>
          <w:t>233 sayılı Kamu İktisadi Teşebbüsleri Hakkında Kanun Hükmünde Kararname</w:t>
        </w:r>
      </w:hyperlink>
      <w:r w:rsidRPr="00FA6DC4">
        <w:rPr>
          <w:i/>
          <w:iCs/>
          <w:sz w:val="20"/>
          <w:szCs w:val="20"/>
        </w:rPr>
        <w:t xml:space="preserve"> kapsamında faaliyet gösteren kamu iktisadi teşebbüsleri (KİT’ler) ve bağlı ortaklıkları ile 18/4/2001 tarihli ve 4646 sayılı Doğal Gaz Piyasası Kanununun Ek 1 inci maddesi kapsamında yurt içinde kurulan ve sermayesinin %50’sinden fazlasına doğrudan veya dolaylı olarak </w:t>
      </w:r>
      <w:proofErr w:type="spellStart"/>
      <w:r w:rsidRPr="00FA6DC4">
        <w:rPr>
          <w:i/>
          <w:iCs/>
          <w:sz w:val="20"/>
          <w:szCs w:val="20"/>
        </w:rPr>
        <w:t>KIT’lerin</w:t>
      </w:r>
      <w:proofErr w:type="spellEnd"/>
      <w:r w:rsidRPr="00FA6DC4">
        <w:rPr>
          <w:i/>
          <w:iCs/>
          <w:sz w:val="20"/>
          <w:szCs w:val="20"/>
        </w:rPr>
        <w:t xml:space="preserve"> sahip olduğu şirketler.”</w:t>
      </w:r>
    </w:p>
    <w:p w14:paraId="5E5757FC" w14:textId="6E93C427" w:rsidR="00FA6DC4" w:rsidRPr="00FA6DC4" w:rsidRDefault="00FA6DC4" w:rsidP="00472BCE">
      <w:pPr>
        <w:jc w:val="both"/>
      </w:pPr>
      <w:r w:rsidRPr="00FA6DC4">
        <w:t xml:space="preserve">Bu Karar, şirketlerin </w:t>
      </w:r>
      <w:r w:rsidRPr="007D3B65">
        <w:rPr>
          <w:b/>
          <w:bCs/>
        </w:rPr>
        <w:t>01/01/2026 ve sonrasında başlayan hesap dönemlerinde</w:t>
      </w:r>
      <w:r w:rsidRPr="00FA6DC4">
        <w:t xml:space="preserve"> denetime tabi olma durumlarının belirlenmesinde esas alınmak üzere yayımı tarihinde yürürlüğe gir</w:t>
      </w:r>
      <w:r w:rsidR="00182305">
        <w:t>miştir.</w:t>
      </w:r>
    </w:p>
    <w:p w14:paraId="3EB21A0E" w14:textId="6370C045" w:rsidR="00182305" w:rsidRDefault="00182305" w:rsidP="00182305">
      <w:pPr>
        <w:jc w:val="both"/>
      </w:pPr>
      <w:r w:rsidRPr="00182305">
        <w:t>Bu değişiklik sonrasında 29/11/2022 tarihli ve 6434 sayılı Cumhurbaşkanı Kararı’nın 3. maddesi</w:t>
      </w:r>
      <w:r>
        <w:t xml:space="preserve">nde </w:t>
      </w:r>
      <w:r w:rsidRPr="00182305">
        <w:t xml:space="preserve">(1) ve (2) numaralı alt bentlerde belirtilenler kapsamında olmayan şirketler </w:t>
      </w:r>
      <w:r>
        <w:t>i</w:t>
      </w:r>
      <w:r w:rsidRPr="00182305">
        <w:t xml:space="preserve">çin </w:t>
      </w:r>
      <w:r>
        <w:t xml:space="preserve">yeniden belirlenen </w:t>
      </w:r>
      <w:r w:rsidRPr="00182305">
        <w:rPr>
          <w:b/>
          <w:bCs/>
        </w:rPr>
        <w:t xml:space="preserve">eşik değerlerden en az ikisinin art arda iki hesap döneminde aşan diğer şirketler </w:t>
      </w:r>
      <w:r w:rsidRPr="00182305">
        <w:t>6102 sayılı Kanun ile 26/9/2011 tarihli ve</w:t>
      </w:r>
      <w:r w:rsidRPr="00182305">
        <w:rPr>
          <w:b/>
          <w:bCs/>
        </w:rPr>
        <w:t> </w:t>
      </w:r>
      <w:hyperlink r:id="rId9" w:history="1">
        <w:r w:rsidRPr="00182305">
          <w:rPr>
            <w:rStyle w:val="Kpr"/>
            <w:color w:val="auto"/>
            <w:u w:val="none"/>
          </w:rPr>
          <w:t xml:space="preserve">660 sayılı Kamu Gözetimi, Muhasebe ve Denetim Standartları Kurumunun Teşkilat </w:t>
        </w:r>
        <w:r w:rsidRPr="00182305">
          <w:rPr>
            <w:rStyle w:val="Kpr"/>
            <w:color w:val="auto"/>
            <w:u w:val="none"/>
          </w:rPr>
          <w:lastRenderedPageBreak/>
          <w:t>ve Görevleri Hakkında Kanun Hükmünde Kararname</w:t>
        </w:r>
      </w:hyperlink>
      <w:r w:rsidRPr="00182305">
        <w:t> hükümleri çerçevesinde bağımsız denetime tabi</w:t>
      </w:r>
      <w:r>
        <w:t xml:space="preserve"> olacaklardır.</w:t>
      </w:r>
    </w:p>
    <w:p w14:paraId="795B33E7" w14:textId="0D886A0F" w:rsidR="00182305" w:rsidRDefault="00182305" w:rsidP="00182305">
      <w:pPr>
        <w:jc w:val="both"/>
      </w:pPr>
      <w:r>
        <w:t>Değişiklik öncesinde</w:t>
      </w:r>
      <w:r w:rsidR="007D3B65">
        <w:t>ki söz konusu tutarlar;</w:t>
      </w:r>
    </w:p>
    <w:p w14:paraId="29BB47D3" w14:textId="77777777" w:rsidR="007D3B65" w:rsidRPr="00FA6DC4" w:rsidRDefault="007D3B65" w:rsidP="007D3B65">
      <w:pPr>
        <w:shd w:val="clear" w:color="auto" w:fill="F2F2F2" w:themeFill="background1" w:themeFillShade="F2"/>
        <w:jc w:val="both"/>
        <w:rPr>
          <w:i/>
          <w:iCs/>
          <w:sz w:val="20"/>
          <w:szCs w:val="20"/>
        </w:rPr>
      </w:pPr>
      <w:r w:rsidRPr="00FA6DC4">
        <w:rPr>
          <w:i/>
          <w:iCs/>
          <w:sz w:val="20"/>
          <w:szCs w:val="20"/>
        </w:rPr>
        <w:t>3) (1) ve (2) numaralı alt bentlerde belirtilenler kapsamında olmayan şirketler için eşik değerler:</w:t>
      </w:r>
    </w:p>
    <w:p w14:paraId="10BF22AD" w14:textId="68319EF1" w:rsidR="007D3B65" w:rsidRPr="00FA6DC4" w:rsidRDefault="007D3B65" w:rsidP="007D3B65">
      <w:pPr>
        <w:shd w:val="clear" w:color="auto" w:fill="F2F2F2" w:themeFill="background1" w:themeFillShade="F2"/>
        <w:jc w:val="both"/>
        <w:rPr>
          <w:i/>
          <w:iCs/>
          <w:sz w:val="20"/>
          <w:szCs w:val="20"/>
        </w:rPr>
      </w:pPr>
      <w:r w:rsidRPr="00FA6DC4">
        <w:rPr>
          <w:i/>
          <w:iCs/>
          <w:sz w:val="20"/>
          <w:szCs w:val="20"/>
        </w:rPr>
        <w:t xml:space="preserve">i) Aktif toplamı </w:t>
      </w:r>
      <w:r w:rsidRPr="007D3B65">
        <w:rPr>
          <w:i/>
          <w:iCs/>
          <w:sz w:val="20"/>
          <w:szCs w:val="20"/>
        </w:rPr>
        <w:t>3</w:t>
      </w:r>
      <w:r w:rsidRPr="00FA6DC4">
        <w:rPr>
          <w:i/>
          <w:iCs/>
          <w:sz w:val="20"/>
          <w:szCs w:val="20"/>
        </w:rPr>
        <w:t>00 milyon Türk Lirası.</w:t>
      </w:r>
    </w:p>
    <w:p w14:paraId="0FA20318" w14:textId="09AC309F" w:rsidR="007D3B65" w:rsidRPr="00FA6DC4" w:rsidRDefault="007D3B65" w:rsidP="007D3B65">
      <w:pPr>
        <w:shd w:val="clear" w:color="auto" w:fill="F2F2F2" w:themeFill="background1" w:themeFillShade="F2"/>
        <w:jc w:val="both"/>
        <w:rPr>
          <w:i/>
          <w:iCs/>
          <w:sz w:val="20"/>
          <w:szCs w:val="20"/>
        </w:rPr>
      </w:pPr>
      <w:r w:rsidRPr="00FA6DC4">
        <w:rPr>
          <w:i/>
          <w:iCs/>
          <w:sz w:val="20"/>
          <w:szCs w:val="20"/>
        </w:rPr>
        <w:t xml:space="preserve">ii) Yıllık net satış hasılatı </w:t>
      </w:r>
      <w:r w:rsidRPr="007D3B65">
        <w:rPr>
          <w:i/>
          <w:iCs/>
          <w:sz w:val="20"/>
          <w:szCs w:val="20"/>
        </w:rPr>
        <w:t>600 milyon</w:t>
      </w:r>
      <w:r w:rsidRPr="00FA6DC4">
        <w:rPr>
          <w:i/>
          <w:iCs/>
          <w:sz w:val="20"/>
          <w:szCs w:val="20"/>
        </w:rPr>
        <w:t xml:space="preserve"> Türk Lirası.</w:t>
      </w:r>
    </w:p>
    <w:p w14:paraId="7D279178" w14:textId="555D64B1" w:rsidR="007D3B65" w:rsidRPr="00182305" w:rsidRDefault="007D3B65" w:rsidP="007D3B65">
      <w:pPr>
        <w:shd w:val="clear" w:color="auto" w:fill="F2F2F2" w:themeFill="background1" w:themeFillShade="F2"/>
        <w:jc w:val="both"/>
      </w:pPr>
      <w:r w:rsidRPr="00FA6DC4">
        <w:rPr>
          <w:i/>
          <w:iCs/>
          <w:sz w:val="20"/>
          <w:szCs w:val="20"/>
        </w:rPr>
        <w:t>iii) Çalışan sayısı 150 kişi.”</w:t>
      </w:r>
    </w:p>
    <w:p w14:paraId="48FA8CD8" w14:textId="27C64C12" w:rsidR="00472BCE" w:rsidRPr="00182305" w:rsidRDefault="007D3B65" w:rsidP="00472BCE">
      <w:pPr>
        <w:jc w:val="both"/>
      </w:pPr>
      <w:proofErr w:type="gramStart"/>
      <w:r>
        <w:t>şeklindeydi</w:t>
      </w:r>
      <w:proofErr w:type="gramEnd"/>
      <w:r>
        <w:t>.</w:t>
      </w:r>
    </w:p>
    <w:p w14:paraId="345CDAA9" w14:textId="77777777" w:rsidR="00E839B7" w:rsidRDefault="00E839B7" w:rsidP="00E839B7">
      <w:pPr>
        <w:jc w:val="both"/>
      </w:pPr>
    </w:p>
    <w:sectPr w:rsidR="00E839B7" w:rsidSect="00B124DB">
      <w:headerReference w:type="default" r:id="rId10"/>
      <w:footerReference w:type="default" r:id="rId11"/>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A0BB" w14:textId="77777777" w:rsidR="00755FCA" w:rsidRDefault="00755FCA" w:rsidP="007003D0">
      <w:pPr>
        <w:spacing w:after="0" w:line="240" w:lineRule="auto"/>
      </w:pPr>
      <w:r>
        <w:separator/>
      </w:r>
    </w:p>
  </w:endnote>
  <w:endnote w:type="continuationSeparator" w:id="0">
    <w:p w14:paraId="08ED92B2" w14:textId="77777777" w:rsidR="00755FCA" w:rsidRDefault="00755FCA"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15812"/>
      <w:docPartObj>
        <w:docPartGallery w:val="Page Numbers (Bottom of Page)"/>
        <w:docPartUnique/>
      </w:docPartObj>
    </w:sdtPr>
    <w:sdtEndPr/>
    <w:sdtContent>
      <w:p w14:paraId="4A34E387" w14:textId="4BE5AEC6" w:rsidR="002B5D54" w:rsidRDefault="002B5D54">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BB2A" w14:textId="77777777" w:rsidR="00755FCA" w:rsidRDefault="00755FCA" w:rsidP="007003D0">
      <w:pPr>
        <w:spacing w:after="0" w:line="240" w:lineRule="auto"/>
      </w:pPr>
      <w:r>
        <w:separator/>
      </w:r>
    </w:p>
  </w:footnote>
  <w:footnote w:type="continuationSeparator" w:id="0">
    <w:p w14:paraId="6D0B180F" w14:textId="77777777" w:rsidR="00755FCA" w:rsidRDefault="00755FCA"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53D024D3" w14:textId="57D1C6FD" w:rsidR="00AE0520" w:rsidRDefault="00AE0520">
    <w:pPr>
      <w:pStyle w:val="stBilgi"/>
    </w:pPr>
    <w:r w:rsidRPr="00F22779">
      <w:rPr>
        <w:b/>
        <w:bCs/>
      </w:rPr>
      <w:object w:dxaOrig="9042" w:dyaOrig="1927" w14:anchorId="39965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52pt;height:96.5pt">
          <v:imagedata r:id="rId1" o:title=""/>
        </v:shape>
        <o:OLEObject Type="Embed" ProgID="Word.Document.12" ShapeID="_x0000_i1072" DrawAspect="Content" ObjectID="_1835259928"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30A9B"/>
    <w:rsid w:val="00045BC8"/>
    <w:rsid w:val="000709FF"/>
    <w:rsid w:val="0009737A"/>
    <w:rsid w:val="000C0E6A"/>
    <w:rsid w:val="000C5B9B"/>
    <w:rsid w:val="000D7A53"/>
    <w:rsid w:val="00116523"/>
    <w:rsid w:val="0012570F"/>
    <w:rsid w:val="00132AC8"/>
    <w:rsid w:val="0013498C"/>
    <w:rsid w:val="001354C0"/>
    <w:rsid w:val="001418FB"/>
    <w:rsid w:val="0015010B"/>
    <w:rsid w:val="001634AC"/>
    <w:rsid w:val="001644DF"/>
    <w:rsid w:val="00170C3E"/>
    <w:rsid w:val="00180E72"/>
    <w:rsid w:val="00182305"/>
    <w:rsid w:val="001A0AA6"/>
    <w:rsid w:val="001A5921"/>
    <w:rsid w:val="001C547C"/>
    <w:rsid w:val="001C61D3"/>
    <w:rsid w:val="001D0AD4"/>
    <w:rsid w:val="001D4559"/>
    <w:rsid w:val="001D6927"/>
    <w:rsid w:val="001F3D74"/>
    <w:rsid w:val="00213727"/>
    <w:rsid w:val="00214B7E"/>
    <w:rsid w:val="002214A0"/>
    <w:rsid w:val="0022777D"/>
    <w:rsid w:val="0023532A"/>
    <w:rsid w:val="00235A96"/>
    <w:rsid w:val="00263869"/>
    <w:rsid w:val="0029204E"/>
    <w:rsid w:val="0029694B"/>
    <w:rsid w:val="002A1B76"/>
    <w:rsid w:val="002A3F6C"/>
    <w:rsid w:val="002B009F"/>
    <w:rsid w:val="002B0E91"/>
    <w:rsid w:val="002B5D54"/>
    <w:rsid w:val="002B762C"/>
    <w:rsid w:val="002B7C55"/>
    <w:rsid w:val="002C35D3"/>
    <w:rsid w:val="002D34D6"/>
    <w:rsid w:val="00303EDC"/>
    <w:rsid w:val="0030464E"/>
    <w:rsid w:val="0030595C"/>
    <w:rsid w:val="00342AB1"/>
    <w:rsid w:val="00353D7A"/>
    <w:rsid w:val="003867F1"/>
    <w:rsid w:val="003A0090"/>
    <w:rsid w:val="003A7505"/>
    <w:rsid w:val="003C4CF1"/>
    <w:rsid w:val="003F0949"/>
    <w:rsid w:val="003F298E"/>
    <w:rsid w:val="00420441"/>
    <w:rsid w:val="00421AB4"/>
    <w:rsid w:val="00425837"/>
    <w:rsid w:val="00425FA8"/>
    <w:rsid w:val="00426931"/>
    <w:rsid w:val="00426C96"/>
    <w:rsid w:val="004441E3"/>
    <w:rsid w:val="00444503"/>
    <w:rsid w:val="00445B03"/>
    <w:rsid w:val="00450DDA"/>
    <w:rsid w:val="00464DBE"/>
    <w:rsid w:val="00472BCE"/>
    <w:rsid w:val="00474CDF"/>
    <w:rsid w:val="00476491"/>
    <w:rsid w:val="004804CD"/>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1615F"/>
    <w:rsid w:val="0052148C"/>
    <w:rsid w:val="00542935"/>
    <w:rsid w:val="00543F90"/>
    <w:rsid w:val="00557D5A"/>
    <w:rsid w:val="00557E4C"/>
    <w:rsid w:val="00561EE5"/>
    <w:rsid w:val="00562478"/>
    <w:rsid w:val="0056375C"/>
    <w:rsid w:val="00583270"/>
    <w:rsid w:val="00585114"/>
    <w:rsid w:val="0059231A"/>
    <w:rsid w:val="005C4369"/>
    <w:rsid w:val="005C4AC8"/>
    <w:rsid w:val="005C7C4B"/>
    <w:rsid w:val="005E3112"/>
    <w:rsid w:val="005E3EB7"/>
    <w:rsid w:val="005E4AD6"/>
    <w:rsid w:val="0061346C"/>
    <w:rsid w:val="006138E7"/>
    <w:rsid w:val="00627209"/>
    <w:rsid w:val="006301D2"/>
    <w:rsid w:val="00643AB9"/>
    <w:rsid w:val="0064585D"/>
    <w:rsid w:val="00665873"/>
    <w:rsid w:val="00667D75"/>
    <w:rsid w:val="00672D59"/>
    <w:rsid w:val="00685C76"/>
    <w:rsid w:val="00691FAA"/>
    <w:rsid w:val="006927D4"/>
    <w:rsid w:val="00692831"/>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55FCA"/>
    <w:rsid w:val="007665E9"/>
    <w:rsid w:val="007805B7"/>
    <w:rsid w:val="0078325B"/>
    <w:rsid w:val="00794D3A"/>
    <w:rsid w:val="007A7126"/>
    <w:rsid w:val="007B2C46"/>
    <w:rsid w:val="007B3614"/>
    <w:rsid w:val="007B39B0"/>
    <w:rsid w:val="007D0311"/>
    <w:rsid w:val="007D2233"/>
    <w:rsid w:val="007D3B65"/>
    <w:rsid w:val="007E2DE5"/>
    <w:rsid w:val="00804DE0"/>
    <w:rsid w:val="00806176"/>
    <w:rsid w:val="0080750F"/>
    <w:rsid w:val="0081240B"/>
    <w:rsid w:val="00823EC2"/>
    <w:rsid w:val="00830A20"/>
    <w:rsid w:val="0085407E"/>
    <w:rsid w:val="008613D5"/>
    <w:rsid w:val="00861E56"/>
    <w:rsid w:val="00876289"/>
    <w:rsid w:val="008812B7"/>
    <w:rsid w:val="008A1CCA"/>
    <w:rsid w:val="008A5053"/>
    <w:rsid w:val="008B7880"/>
    <w:rsid w:val="008C3008"/>
    <w:rsid w:val="008D3C1B"/>
    <w:rsid w:val="008D4CC4"/>
    <w:rsid w:val="008E34E8"/>
    <w:rsid w:val="008F06CC"/>
    <w:rsid w:val="008F795C"/>
    <w:rsid w:val="00914842"/>
    <w:rsid w:val="009310E9"/>
    <w:rsid w:val="009409B3"/>
    <w:rsid w:val="00971946"/>
    <w:rsid w:val="00982D0B"/>
    <w:rsid w:val="00982FE7"/>
    <w:rsid w:val="009A7296"/>
    <w:rsid w:val="009B0041"/>
    <w:rsid w:val="009B6807"/>
    <w:rsid w:val="009C6C94"/>
    <w:rsid w:val="009E4AE3"/>
    <w:rsid w:val="009F542D"/>
    <w:rsid w:val="009F5E6A"/>
    <w:rsid w:val="00A200BA"/>
    <w:rsid w:val="00A41F8F"/>
    <w:rsid w:val="00A4346F"/>
    <w:rsid w:val="00A54304"/>
    <w:rsid w:val="00A75F35"/>
    <w:rsid w:val="00A7652F"/>
    <w:rsid w:val="00A86B1E"/>
    <w:rsid w:val="00A86D20"/>
    <w:rsid w:val="00A87141"/>
    <w:rsid w:val="00A905E3"/>
    <w:rsid w:val="00A94874"/>
    <w:rsid w:val="00A962D3"/>
    <w:rsid w:val="00AC084A"/>
    <w:rsid w:val="00AC1960"/>
    <w:rsid w:val="00AD2A55"/>
    <w:rsid w:val="00AE0520"/>
    <w:rsid w:val="00AE5B03"/>
    <w:rsid w:val="00B02216"/>
    <w:rsid w:val="00B124DB"/>
    <w:rsid w:val="00B13552"/>
    <w:rsid w:val="00B15870"/>
    <w:rsid w:val="00B33B2D"/>
    <w:rsid w:val="00B510BA"/>
    <w:rsid w:val="00B559CB"/>
    <w:rsid w:val="00B7114A"/>
    <w:rsid w:val="00B95798"/>
    <w:rsid w:val="00BB3F8E"/>
    <w:rsid w:val="00BB59B1"/>
    <w:rsid w:val="00BC27A0"/>
    <w:rsid w:val="00BE26A6"/>
    <w:rsid w:val="00BF6A93"/>
    <w:rsid w:val="00BF7F58"/>
    <w:rsid w:val="00C03A92"/>
    <w:rsid w:val="00C10F40"/>
    <w:rsid w:val="00C1105C"/>
    <w:rsid w:val="00C17774"/>
    <w:rsid w:val="00C2035C"/>
    <w:rsid w:val="00C23507"/>
    <w:rsid w:val="00C23533"/>
    <w:rsid w:val="00C352D2"/>
    <w:rsid w:val="00C41956"/>
    <w:rsid w:val="00C479EF"/>
    <w:rsid w:val="00C5070C"/>
    <w:rsid w:val="00C604ED"/>
    <w:rsid w:val="00C60D77"/>
    <w:rsid w:val="00C704B4"/>
    <w:rsid w:val="00C70FDD"/>
    <w:rsid w:val="00C71843"/>
    <w:rsid w:val="00C81E5F"/>
    <w:rsid w:val="00C84DA7"/>
    <w:rsid w:val="00CA372D"/>
    <w:rsid w:val="00CB0C60"/>
    <w:rsid w:val="00CB70E5"/>
    <w:rsid w:val="00CC2CDB"/>
    <w:rsid w:val="00CD137F"/>
    <w:rsid w:val="00CD45F0"/>
    <w:rsid w:val="00CE7F96"/>
    <w:rsid w:val="00CF640B"/>
    <w:rsid w:val="00D16CB8"/>
    <w:rsid w:val="00D17D51"/>
    <w:rsid w:val="00D50329"/>
    <w:rsid w:val="00D5205A"/>
    <w:rsid w:val="00D60273"/>
    <w:rsid w:val="00D63063"/>
    <w:rsid w:val="00D64C24"/>
    <w:rsid w:val="00D72F8B"/>
    <w:rsid w:val="00D949EB"/>
    <w:rsid w:val="00D95B71"/>
    <w:rsid w:val="00DA456F"/>
    <w:rsid w:val="00DA5A39"/>
    <w:rsid w:val="00DC7932"/>
    <w:rsid w:val="00DD2892"/>
    <w:rsid w:val="00DE2DA2"/>
    <w:rsid w:val="00DE6267"/>
    <w:rsid w:val="00E11EE0"/>
    <w:rsid w:val="00E46084"/>
    <w:rsid w:val="00E74976"/>
    <w:rsid w:val="00E7767F"/>
    <w:rsid w:val="00E8150F"/>
    <w:rsid w:val="00E839B7"/>
    <w:rsid w:val="00E87CC1"/>
    <w:rsid w:val="00EA5747"/>
    <w:rsid w:val="00EB0CFF"/>
    <w:rsid w:val="00EB696B"/>
    <w:rsid w:val="00EE433F"/>
    <w:rsid w:val="00EE4875"/>
    <w:rsid w:val="00F128E2"/>
    <w:rsid w:val="00F17BC6"/>
    <w:rsid w:val="00F201D9"/>
    <w:rsid w:val="00F261A5"/>
    <w:rsid w:val="00F31A4E"/>
    <w:rsid w:val="00F349BB"/>
    <w:rsid w:val="00F374AF"/>
    <w:rsid w:val="00F44BE8"/>
    <w:rsid w:val="00F46CA4"/>
    <w:rsid w:val="00F67F02"/>
    <w:rsid w:val="00FA6DC4"/>
    <w:rsid w:val="00FB18D5"/>
    <w:rsid w:val="00FC1BE4"/>
    <w:rsid w:val="00FC58B1"/>
    <w:rsid w:val="00FD1FA5"/>
    <w:rsid w:val="00FD2425"/>
    <w:rsid w:val="00FD3828"/>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1984/06/18/khk-233-kamu-iktisadi-tesebbusleri-hakkinda-kanun-hukmunde-kararna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omaliye.com/2022/11/30/2023-bagimsiz-denetime-tabi-sirketler-karar-sayisi-6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omaliye.com/2011/11/02/660-sayili-kamu-gozetimi-muhasebe-ve-denetim-standartlari-kurumunun-teskilat/" TargetMode="Externa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1829</TotalTime>
  <Pages>3</Pages>
  <Words>773</Words>
  <Characters>5170</Characters>
  <Application>Microsoft Office Word</Application>
  <DocSecurity>0</DocSecurity>
  <Lines>80</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162</cp:revision>
  <dcterms:created xsi:type="dcterms:W3CDTF">2025-12-19T13:27:00Z</dcterms:created>
  <dcterms:modified xsi:type="dcterms:W3CDTF">2026-03-17T10:39:00Z</dcterms:modified>
</cp:coreProperties>
</file>