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4AB1" w14:textId="7F1314ED" w:rsidR="00E81570" w:rsidRPr="00E81570" w:rsidRDefault="00780035" w:rsidP="00E81570">
      <w:pPr>
        <w:spacing w:after="0" w:line="240" w:lineRule="auto"/>
        <w:jc w:val="center"/>
        <w:rPr>
          <w:b/>
          <w:bCs/>
          <w:sz w:val="36"/>
          <w:szCs w:val="36"/>
        </w:rPr>
      </w:pPr>
      <w:r>
        <w:rPr>
          <w:b/>
          <w:bCs/>
          <w:sz w:val="36"/>
          <w:szCs w:val="36"/>
        </w:rPr>
        <w:t>VERGİ MEVZUATINDAKİ GELİŞMELER</w:t>
      </w:r>
      <w:r w:rsidR="00E81570" w:rsidRPr="00E81570">
        <w:rPr>
          <w:b/>
          <w:bCs/>
          <w:sz w:val="36"/>
          <w:szCs w:val="36"/>
        </w:rPr>
        <w:t xml:space="preserve"> 2026/</w:t>
      </w:r>
      <w:r>
        <w:rPr>
          <w:b/>
          <w:bCs/>
          <w:sz w:val="36"/>
          <w:szCs w:val="36"/>
        </w:rPr>
        <w:t>AĞUSTOS-</w:t>
      </w:r>
      <w:r w:rsidR="00E81570">
        <w:rPr>
          <w:b/>
          <w:bCs/>
          <w:sz w:val="36"/>
          <w:szCs w:val="36"/>
        </w:rPr>
        <w:t>3</w:t>
      </w:r>
    </w:p>
    <w:p w14:paraId="36546355" w14:textId="16819BFD" w:rsidR="00E81570" w:rsidRPr="00E81570" w:rsidRDefault="00E81570" w:rsidP="00E81570">
      <w:pPr>
        <w:spacing w:after="0" w:line="240" w:lineRule="auto"/>
        <w:jc w:val="center"/>
        <w:rPr>
          <w:b/>
          <w:bCs/>
          <w:sz w:val="16"/>
          <w:szCs w:val="16"/>
        </w:rPr>
      </w:pPr>
      <w:r w:rsidRPr="00E81570">
        <w:rPr>
          <w:b/>
          <w:bCs/>
          <w:sz w:val="16"/>
          <w:szCs w:val="16"/>
        </w:rPr>
        <w:t>(</w:t>
      </w:r>
      <w:r w:rsidR="00C259B6">
        <w:rPr>
          <w:b/>
          <w:bCs/>
          <w:sz w:val="16"/>
          <w:szCs w:val="16"/>
        </w:rPr>
        <w:t>13</w:t>
      </w:r>
      <w:r w:rsidRPr="00E81570">
        <w:rPr>
          <w:b/>
          <w:bCs/>
          <w:sz w:val="16"/>
          <w:szCs w:val="16"/>
        </w:rPr>
        <w:t>.08.2026</w:t>
      </w:r>
      <w:r>
        <w:rPr>
          <w:b/>
          <w:bCs/>
          <w:sz w:val="16"/>
          <w:szCs w:val="16"/>
        </w:rPr>
        <w:t xml:space="preserve">- </w:t>
      </w:r>
      <w:r w:rsidR="00E85C6D">
        <w:rPr>
          <w:b/>
          <w:bCs/>
          <w:sz w:val="16"/>
          <w:szCs w:val="16"/>
        </w:rPr>
        <w:t>22</w:t>
      </w:r>
      <w:r w:rsidR="00D149C1">
        <w:rPr>
          <w:b/>
          <w:bCs/>
          <w:sz w:val="16"/>
          <w:szCs w:val="16"/>
        </w:rPr>
        <w:t>.</w:t>
      </w:r>
      <w:r>
        <w:rPr>
          <w:b/>
          <w:bCs/>
          <w:sz w:val="16"/>
          <w:szCs w:val="16"/>
        </w:rPr>
        <w:t>08.2026</w:t>
      </w:r>
      <w:r w:rsidRPr="00E81570">
        <w:rPr>
          <w:b/>
          <w:bCs/>
          <w:sz w:val="16"/>
          <w:szCs w:val="16"/>
        </w:rPr>
        <w:t>)</w:t>
      </w:r>
    </w:p>
    <w:p w14:paraId="14A35513" w14:textId="77777777" w:rsidR="00C23507" w:rsidRDefault="00C23507"/>
    <w:p w14:paraId="354E3094" w14:textId="087F3197" w:rsidR="00C259B6" w:rsidRPr="00C259B6" w:rsidRDefault="00C259B6">
      <w:pPr>
        <w:rPr>
          <w:b/>
          <w:bCs/>
          <w:sz w:val="26"/>
          <w:szCs w:val="26"/>
        </w:rPr>
      </w:pPr>
      <w:r w:rsidRPr="00C259B6">
        <w:rPr>
          <w:b/>
          <w:bCs/>
          <w:sz w:val="26"/>
          <w:szCs w:val="26"/>
        </w:rPr>
        <w:t>I- BAZI MALLARA UYGULANAN ÖZEL TÜKETİM VERGİSİ YENİDEN BELİRLENMİŞTİR</w:t>
      </w:r>
    </w:p>
    <w:p w14:paraId="62437789" w14:textId="29CDB6B8" w:rsidR="00C259B6" w:rsidRDefault="00C259B6" w:rsidP="006978C6">
      <w:pPr>
        <w:jc w:val="both"/>
      </w:pPr>
      <w:r>
        <w:t xml:space="preserve">13 Ağustos 2026 tarihli ve 33339 sayılı Resmî </w:t>
      </w:r>
      <w:proofErr w:type="spellStart"/>
      <w:r>
        <w:t>Gazete’de</w:t>
      </w:r>
      <w:proofErr w:type="spellEnd"/>
      <w:r>
        <w:t xml:space="preserve"> yayımlanan 11606 sayılı Cumhurbaşkanı Kararı ile b</w:t>
      </w:r>
      <w:r w:rsidRPr="00C259B6">
        <w:t xml:space="preserve">azı mallara uygulanan özel tüketim vergisi tutarlarının yeniden belirlenmesine dair </w:t>
      </w:r>
      <w:r>
        <w:t xml:space="preserve">söz konusu Karara </w:t>
      </w:r>
      <w:r w:rsidRPr="00C259B6">
        <w:t>ekli Kararın yürürlüğe konulmasına, </w:t>
      </w:r>
      <w:hyperlink r:id="rId6" w:tgtFrame="_blank" w:history="1">
        <w:r w:rsidRPr="00C259B6">
          <w:rPr>
            <w:rStyle w:val="Kpr"/>
            <w:color w:val="auto"/>
            <w:u w:val="none"/>
          </w:rPr>
          <w:t>4760 sayılı Özel Tüketim Vergisi Kanunu</w:t>
        </w:r>
      </w:hyperlink>
      <w:r>
        <w:t>’</w:t>
      </w:r>
      <w:r w:rsidRPr="00C259B6">
        <w:t>nun 12</w:t>
      </w:r>
      <w:r>
        <w:t>’</w:t>
      </w:r>
      <w:r w:rsidRPr="00C259B6">
        <w:t>nci maddesi gereğince karar verilmiştir.</w:t>
      </w:r>
      <w:r>
        <w:t xml:space="preserve"> Yayımı tarihinde yürürlüğe giren Karara göre;</w:t>
      </w:r>
    </w:p>
    <w:p w14:paraId="402B2BF4" w14:textId="242BC320" w:rsidR="00C259B6" w:rsidRPr="00C259B6" w:rsidRDefault="00C259B6" w:rsidP="00C259B6">
      <w:pPr>
        <w:shd w:val="clear" w:color="auto" w:fill="F2F2F2" w:themeFill="background1" w:themeFillShade="F2"/>
        <w:jc w:val="both"/>
        <w:rPr>
          <w:i/>
          <w:iCs/>
          <w:sz w:val="20"/>
          <w:szCs w:val="20"/>
        </w:rPr>
      </w:pPr>
      <w:r w:rsidRPr="00C259B6">
        <w:rPr>
          <w:i/>
          <w:iCs/>
          <w:sz w:val="20"/>
          <w:szCs w:val="20"/>
        </w:rPr>
        <w:t>“6/6/2002 tarihli ve </w:t>
      </w:r>
      <w:hyperlink r:id="rId7" w:tgtFrame="_blank" w:history="1">
        <w:r w:rsidRPr="00C259B6">
          <w:rPr>
            <w:rStyle w:val="Kpr"/>
            <w:i/>
            <w:iCs/>
            <w:color w:val="auto"/>
            <w:sz w:val="20"/>
            <w:szCs w:val="20"/>
            <w:u w:val="none"/>
          </w:rPr>
          <w:t>4760</w:t>
        </w:r>
      </w:hyperlink>
      <w:r w:rsidRPr="00C259B6">
        <w:rPr>
          <w:i/>
          <w:iCs/>
          <w:sz w:val="20"/>
          <w:szCs w:val="20"/>
        </w:rPr>
        <w:t> sayılı Özel Tüketim Vergisi Kanunu’na ekli (I) sayılı listenin (A) cetvelinde 2710.19.43.00.11 ve 2710.20.11.00.11 G.T.İ.P. numaraları ile yer alan motorin türü malların özel tüketim vergisi tutarları, aşağıdaki tabloda gösterildiği şekilde tespit edilmiştir.</w:t>
      </w:r>
    </w:p>
    <w:tbl>
      <w:tblPr>
        <w:tblW w:w="0" w:type="auto"/>
        <w:tblCellMar>
          <w:left w:w="0" w:type="dxa"/>
          <w:right w:w="0" w:type="dxa"/>
        </w:tblCellMar>
        <w:tblLook w:val="04A0" w:firstRow="1" w:lastRow="0" w:firstColumn="1" w:lastColumn="0" w:noHBand="0" w:noVBand="1"/>
      </w:tblPr>
      <w:tblGrid>
        <w:gridCol w:w="1513"/>
        <w:gridCol w:w="1439"/>
        <w:gridCol w:w="1580"/>
        <w:gridCol w:w="1580"/>
        <w:gridCol w:w="1580"/>
        <w:gridCol w:w="1364"/>
      </w:tblGrid>
      <w:tr w:rsidR="00C259B6" w:rsidRPr="00C259B6" w14:paraId="0235B829" w14:textId="77777777" w:rsidTr="00C259B6">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341F39A"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13/8/2026-31/8/2026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42B2B1F"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1/9/2026-30/9/2026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7220560"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1/10/2026-31/10/2026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F3507CB"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1/11/2026-30/11/2026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078E15F"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1/12/2026-31/12/2026</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86ABF33" w14:textId="77777777" w:rsidR="00C259B6" w:rsidRPr="00C259B6" w:rsidRDefault="00C259B6" w:rsidP="00C259B6">
            <w:pPr>
              <w:shd w:val="clear" w:color="auto" w:fill="F2F2F2" w:themeFill="background1" w:themeFillShade="F2"/>
              <w:jc w:val="both"/>
              <w:rPr>
                <w:i/>
                <w:iCs/>
                <w:sz w:val="18"/>
                <w:szCs w:val="18"/>
              </w:rPr>
            </w:pPr>
            <w:r w:rsidRPr="00C259B6">
              <w:rPr>
                <w:b/>
                <w:bCs/>
                <w:i/>
                <w:iCs/>
                <w:sz w:val="18"/>
                <w:szCs w:val="18"/>
              </w:rPr>
              <w:t>1/1/2027 ve sonrası</w:t>
            </w:r>
          </w:p>
        </w:tc>
      </w:tr>
      <w:tr w:rsidR="00C259B6" w:rsidRPr="00C259B6" w14:paraId="151C6EB2" w14:textId="77777777" w:rsidTr="00C259B6">
        <w:trPr>
          <w:tblHeader/>
        </w:trPr>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E6ABF3"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0 TL/Litre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5F65D0"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3,0000 TL/Litre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BD1D9EC"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6,0000 TL/Litre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CA1E1CB"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9,0000 TL/Litre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95FDEEC"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12,0000 TL/Litre</w:t>
            </w:r>
          </w:p>
        </w:tc>
        <w:tc>
          <w:tcPr>
            <w:tcW w:w="0" w:type="auto"/>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DF7C3B9" w14:textId="77777777" w:rsidR="00C259B6" w:rsidRPr="00C259B6" w:rsidRDefault="00C259B6" w:rsidP="00C259B6">
            <w:pPr>
              <w:shd w:val="clear" w:color="auto" w:fill="F2F2F2" w:themeFill="background1" w:themeFillShade="F2"/>
              <w:jc w:val="both"/>
              <w:rPr>
                <w:i/>
                <w:iCs/>
                <w:sz w:val="18"/>
                <w:szCs w:val="18"/>
              </w:rPr>
            </w:pPr>
            <w:r w:rsidRPr="00C259B6">
              <w:rPr>
                <w:i/>
                <w:iCs/>
                <w:sz w:val="18"/>
                <w:szCs w:val="18"/>
              </w:rPr>
              <w:t>13,9006 TL/Litre</w:t>
            </w:r>
          </w:p>
        </w:tc>
      </w:tr>
    </w:tbl>
    <w:p w14:paraId="45073491" w14:textId="77777777" w:rsidR="00C259B6" w:rsidRPr="00C259B6" w:rsidRDefault="00C259B6" w:rsidP="00C259B6">
      <w:pPr>
        <w:shd w:val="clear" w:color="auto" w:fill="F2F2F2" w:themeFill="background1" w:themeFillShade="F2"/>
        <w:spacing w:after="0" w:line="240" w:lineRule="auto"/>
        <w:ind w:firstLine="708"/>
        <w:jc w:val="both"/>
        <w:rPr>
          <w:i/>
          <w:iCs/>
          <w:sz w:val="20"/>
          <w:szCs w:val="20"/>
        </w:rPr>
      </w:pPr>
    </w:p>
    <w:p w14:paraId="7ECF5802" w14:textId="6DC06C27" w:rsidR="00C259B6" w:rsidRPr="00C259B6" w:rsidRDefault="00C259B6" w:rsidP="00C259B6">
      <w:pPr>
        <w:shd w:val="clear" w:color="auto" w:fill="F2F2F2" w:themeFill="background1" w:themeFillShade="F2"/>
        <w:spacing w:after="0" w:line="240" w:lineRule="auto"/>
        <w:jc w:val="both"/>
        <w:rPr>
          <w:i/>
          <w:iCs/>
          <w:sz w:val="20"/>
          <w:szCs w:val="20"/>
        </w:rPr>
      </w:pPr>
      <w:r w:rsidRPr="00C259B6">
        <w:rPr>
          <w:i/>
          <w:iCs/>
          <w:sz w:val="20"/>
          <w:szCs w:val="20"/>
        </w:rPr>
        <w:t>4/3/2026 tarihli ve 10995 sayılı Cumhurbaşkanı Kararının eki Karar hükümleri 4760 sayılı Kanuna ekli (I) sayılı listenin (A) cetvelinde 2710.19.43.00.11 ve 2710.20.11.00.11 G.T.İ.P. numaraları ile yer alan motorin türü mallar bakımından uygulanmaz.”</w:t>
      </w:r>
    </w:p>
    <w:p w14:paraId="7034019F" w14:textId="77777777" w:rsidR="00C259B6" w:rsidRDefault="00C259B6"/>
    <w:p w14:paraId="245247EB" w14:textId="7A8EB513" w:rsidR="00C259B6" w:rsidRDefault="008D7D85" w:rsidP="008D7D85">
      <w:pPr>
        <w:jc w:val="both"/>
      </w:pPr>
      <w:r w:rsidRPr="008D7D85">
        <w:t xml:space="preserve">4 Mart 2026 tarihinde imzalanan ve 5 Mart 2026 tarihli Resmî </w:t>
      </w:r>
      <w:proofErr w:type="spellStart"/>
      <w:r w:rsidRPr="008D7D85">
        <w:t>Gazete</w:t>
      </w:r>
      <w:r w:rsidR="00E85C6D">
        <w:t>’</w:t>
      </w:r>
      <w:r w:rsidRPr="008D7D85">
        <w:t>de</w:t>
      </w:r>
      <w:proofErr w:type="spellEnd"/>
      <w:r w:rsidRPr="008D7D85">
        <w:t xml:space="preserve"> yayımlanan </w:t>
      </w:r>
      <w:r>
        <w:t>10995 sayılı Cumhurbaşkanı Kararı</w:t>
      </w:r>
      <w:r w:rsidRPr="008D7D85">
        <w:t>, belirli akaryakıt ürünlerindeki maktu ÖTV tutarlarında indirim veya dönemsel güncellemeler yapılmasını hükme bağlamıştır. Bu karar ile uluslararası petrol fiyatlarında veya döviz kurunda yaşanan artışların pompa fiyatlarına tam yansımaması için ÖTV</w:t>
      </w:r>
      <w:r w:rsidR="00E85C6D">
        <w:t>’</w:t>
      </w:r>
      <w:r w:rsidRPr="008D7D85">
        <w:t>nin bu artışın %75</w:t>
      </w:r>
      <w:r w:rsidR="00E85C6D">
        <w:t>’</w:t>
      </w:r>
      <w:r w:rsidRPr="008D7D85">
        <w:t>i kadar azaltılması (düşüşlerde de %75 artırılması) mekanizması resmen yürürlüğe konmuştu.</w:t>
      </w:r>
      <w:r>
        <w:t xml:space="preserve"> 11606 sayılı Cumhurbaşkanı Kararı ile </w:t>
      </w:r>
      <w:proofErr w:type="spellStart"/>
      <w:r>
        <w:t>yuarıda</w:t>
      </w:r>
      <w:proofErr w:type="spellEnd"/>
      <w:r>
        <w:t xml:space="preserve"> bahsedilen motorin türü mallarda uygulama kaldırılmıştır.</w:t>
      </w:r>
    </w:p>
    <w:p w14:paraId="655AE56F" w14:textId="5FD8784F" w:rsidR="00C259B6" w:rsidRDefault="008D7D85" w:rsidP="008D7D85">
      <w:pPr>
        <w:jc w:val="both"/>
      </w:pPr>
      <w:r w:rsidRPr="008D7D85">
        <w:t xml:space="preserve">Kararın yürürlük tarihi itibarıyla motorin üzerinden alınan özel tüketim vergisi (ÖTV) tutarı; Ağustos ayının kalan kısmı için 0 TL olarak, sonraki aylar için ise yıl sonuna kadar her ay 3’er TL kademeli artırılmak suretiyle belirlenmiştir. 1/1/2027 tarihinde itibaren ise bu malın ÖTV tutarı 13,9006 TL olarak uygulanacaktır. Ayrıca, Karar ile kamuoyunda </w:t>
      </w:r>
      <w:proofErr w:type="spellStart"/>
      <w:r w:rsidRPr="008D7D85">
        <w:t>Eşel</w:t>
      </w:r>
      <w:proofErr w:type="spellEnd"/>
      <w:r w:rsidRPr="008D7D85">
        <w:t xml:space="preserve">-Mobil Sistemi olarak bilinen sistem motorin türü mallar bakımından yürürlükten kaldırılmaktadır. Ancak, benzin ve L.P.G. türü mallar bakımından mevcut </w:t>
      </w:r>
      <w:proofErr w:type="spellStart"/>
      <w:r w:rsidRPr="008D7D85">
        <w:t>Eşel</w:t>
      </w:r>
      <w:proofErr w:type="spellEnd"/>
      <w:r w:rsidRPr="008D7D85">
        <w:t>-Mobil Sistemi devam etmektedir.</w:t>
      </w:r>
    </w:p>
    <w:p w14:paraId="170652C7" w14:textId="77777777" w:rsidR="00C259B6" w:rsidRDefault="00C259B6"/>
    <w:p w14:paraId="6F97A65C" w14:textId="77777777" w:rsidR="00BC4B91" w:rsidRDefault="00BC4B91"/>
    <w:p w14:paraId="5B3E27E8" w14:textId="77777777" w:rsidR="00BC4B91" w:rsidRDefault="00BC4B91"/>
    <w:p w14:paraId="2C9499FF" w14:textId="77777777" w:rsidR="00BC4B91" w:rsidRDefault="00BC4B91"/>
    <w:p w14:paraId="335712FC" w14:textId="77777777" w:rsidR="00BC4B91" w:rsidRDefault="00BC4B91"/>
    <w:p w14:paraId="6FFC1809" w14:textId="77777777" w:rsidR="000746B6" w:rsidRDefault="000746B6" w:rsidP="000746B6">
      <w:pPr>
        <w:jc w:val="both"/>
        <w:rPr>
          <w:b/>
          <w:bCs/>
          <w:sz w:val="26"/>
          <w:szCs w:val="26"/>
        </w:rPr>
      </w:pPr>
      <w:r w:rsidRPr="00FA3317">
        <w:rPr>
          <w:b/>
          <w:bCs/>
          <w:sz w:val="26"/>
          <w:szCs w:val="26"/>
        </w:rPr>
        <w:t>II- 1 SIRA NOLU YEMİNLİ MALİ MÜŞAVİRLİK TASDİK RAPORLARINA EKLENEN KARŞIT İNCELEME TUTANAKLARININ ELEKTRONİK ORTAMDA GÖNDERİLMESİ HAKKINDA TEBLİĞDE DEĞİŞİKLİK YAPILMASINA DAİR TEBLİĞ</w:t>
      </w:r>
      <w:r>
        <w:rPr>
          <w:b/>
          <w:bCs/>
          <w:sz w:val="26"/>
          <w:szCs w:val="26"/>
        </w:rPr>
        <w:t xml:space="preserve"> </w:t>
      </w:r>
      <w:r w:rsidRPr="00FA3317">
        <w:rPr>
          <w:b/>
          <w:bCs/>
          <w:sz w:val="26"/>
          <w:szCs w:val="26"/>
        </w:rPr>
        <w:t>(SIRA NO: 2) YAYIMLAN</w:t>
      </w:r>
      <w:r>
        <w:rPr>
          <w:b/>
          <w:bCs/>
          <w:sz w:val="26"/>
          <w:szCs w:val="26"/>
        </w:rPr>
        <w:t>MIŞTIR</w:t>
      </w:r>
    </w:p>
    <w:p w14:paraId="0F3742AF" w14:textId="7884BBAB" w:rsidR="000746B6" w:rsidRDefault="000746B6" w:rsidP="000746B6">
      <w:pPr>
        <w:jc w:val="both"/>
      </w:pPr>
      <w:r w:rsidRPr="00FA3317">
        <w:t xml:space="preserve">1 Sıra </w:t>
      </w:r>
      <w:proofErr w:type="spellStart"/>
      <w:r w:rsidRPr="00FA3317">
        <w:t>Nolu</w:t>
      </w:r>
      <w:proofErr w:type="spellEnd"/>
      <w:r w:rsidRPr="00FA3317">
        <w:t xml:space="preserve"> Yeminli Mali Müşavirlik Tasdik Raporlarına Eklenen Karşıt İnceleme Tutanaklarının Elektronik Ortamda Gönderilmesi Hakkında Tebliğde Değişiklik Yapılmasına Dair Tebliğ (Sıra No: 2)</w:t>
      </w:r>
      <w:r>
        <w:t xml:space="preserve">, 21 Ağustos 2026 tarihli ve 33347 sayılı Resmî </w:t>
      </w:r>
      <w:proofErr w:type="spellStart"/>
      <w:r>
        <w:t>Gazete’de</w:t>
      </w:r>
      <w:proofErr w:type="spellEnd"/>
      <w:r>
        <w:t xml:space="preserve"> yayımlanmıştır. </w:t>
      </w:r>
    </w:p>
    <w:p w14:paraId="5627607C" w14:textId="0A7F0186" w:rsidR="000746B6" w:rsidRDefault="000746B6" w:rsidP="000746B6">
      <w:pPr>
        <w:jc w:val="both"/>
      </w:pPr>
      <w:r>
        <w:t xml:space="preserve">Yayımı tarihinde yürürlüğe giren Tebliğ uyarınca, </w:t>
      </w:r>
      <w:r w:rsidRPr="000746B6">
        <w:t xml:space="preserve">24/12/2025 tarihli ve 33117 sayılı Resmî </w:t>
      </w:r>
      <w:proofErr w:type="spellStart"/>
      <w:r w:rsidRPr="000746B6">
        <w:t>Gazete</w:t>
      </w:r>
      <w:r>
        <w:t>’</w:t>
      </w:r>
      <w:r w:rsidRPr="000746B6">
        <w:t>de</w:t>
      </w:r>
      <w:proofErr w:type="spellEnd"/>
      <w:r w:rsidRPr="000746B6">
        <w:t xml:space="preserve"> yayımlanan Yeminli Mali Müşavirlik Tasdik Raporlarına Eklenen Karşıt İnceleme Tutanaklarının Elektronik Ortamda Gönderilmesi Hakkında Tebliğ (Sıra No: 1)’in 7</w:t>
      </w:r>
      <w:r>
        <w:t>’</w:t>
      </w:r>
      <w:r w:rsidRPr="000746B6">
        <w:t>nci maddesinin ikinci fıkrasında yer alan “1/7/2026” ibaresi “1/1/2027” şeklinde değiştirilmiştir.</w:t>
      </w:r>
    </w:p>
    <w:p w14:paraId="3C1BC848" w14:textId="3EFBCD6E" w:rsidR="000746B6" w:rsidRDefault="000746B6" w:rsidP="000746B6">
      <w:pPr>
        <w:jc w:val="both"/>
        <w:rPr>
          <w:b/>
          <w:bCs/>
        </w:rPr>
      </w:pPr>
      <w:r w:rsidRPr="00FA3317">
        <w:rPr>
          <w:b/>
          <w:bCs/>
        </w:rPr>
        <w:t>Söz konusu Tebliğ ile karşıt inceleme tutanaklarının elektronik ortamda düzenlenmesine ilişkin 1/7/2026 olan zorunlu uygulamanın başlangıç tarihi</w:t>
      </w:r>
      <w:r>
        <w:rPr>
          <w:b/>
          <w:bCs/>
        </w:rPr>
        <w:t>,</w:t>
      </w:r>
      <w:r w:rsidRPr="00FA3317">
        <w:rPr>
          <w:b/>
          <w:bCs/>
        </w:rPr>
        <w:t xml:space="preserve"> 1/1/2027 olarak yeniden belirlenm</w:t>
      </w:r>
      <w:r>
        <w:rPr>
          <w:b/>
          <w:bCs/>
        </w:rPr>
        <w:t>iştir</w:t>
      </w:r>
      <w:r w:rsidRPr="00FA3317">
        <w:rPr>
          <w:b/>
          <w:bCs/>
        </w:rPr>
        <w:t>.</w:t>
      </w:r>
    </w:p>
    <w:p w14:paraId="784E15A4" w14:textId="77777777" w:rsidR="00C259B6" w:rsidRDefault="00C259B6" w:rsidP="00E85C6D">
      <w:pPr>
        <w:jc w:val="both"/>
        <w:rPr>
          <w:b/>
          <w:bCs/>
        </w:rPr>
      </w:pPr>
    </w:p>
    <w:p w14:paraId="3DB27176" w14:textId="6AA8E75C" w:rsidR="00E85C6D" w:rsidRPr="00E85C6D" w:rsidRDefault="00E85C6D" w:rsidP="00E85C6D">
      <w:pPr>
        <w:jc w:val="both"/>
        <w:rPr>
          <w:b/>
          <w:bCs/>
          <w:sz w:val="26"/>
          <w:szCs w:val="26"/>
        </w:rPr>
      </w:pPr>
      <w:r w:rsidRPr="00E85C6D">
        <w:rPr>
          <w:b/>
          <w:bCs/>
          <w:sz w:val="26"/>
          <w:szCs w:val="26"/>
        </w:rPr>
        <w:t>III- ALTIN CİNSİNDEN FİZİKİ VARLIKLARIN FİNANSAL SİSTEME KAZANDIRILMASI HAKKINDA TEBLİĞ (SAYI: 2022/11)’İN YÜRÜRLÜKTEN KALDIRILMASINA DAİR TEBLİĞ (SAYI: 2026/12) YAYIMLANMIŞTIR</w:t>
      </w:r>
    </w:p>
    <w:p w14:paraId="346317E4" w14:textId="0F6D331F" w:rsidR="00E85C6D" w:rsidRPr="00E85C6D" w:rsidRDefault="00E85C6D" w:rsidP="00E85C6D">
      <w:pPr>
        <w:jc w:val="both"/>
      </w:pPr>
      <w:r w:rsidRPr="00E85C6D">
        <w:t>Altın Cinsinden Fiziki Varlıkların Finansal Sisteme Kazandırılması Hakkında Tebliğ (Sayı: 2022/11)’</w:t>
      </w:r>
      <w:r>
        <w:t>i</w:t>
      </w:r>
      <w:r w:rsidRPr="00E85C6D">
        <w:t xml:space="preserve">n Yürürlükten Kaldırılmasına Dair </w:t>
      </w:r>
      <w:r w:rsidR="00AC195B" w:rsidRPr="00E85C6D">
        <w:t>2026/12</w:t>
      </w:r>
      <w:r w:rsidR="00AC195B">
        <w:t xml:space="preserve"> Sayılı </w:t>
      </w:r>
      <w:r w:rsidRPr="00E85C6D">
        <w:t>Tebliğ</w:t>
      </w:r>
      <w:r w:rsidR="00AC195B">
        <w:t>,</w:t>
      </w:r>
      <w:r w:rsidRPr="00E85C6D">
        <w:t xml:space="preserve"> 22 Ağustos 2026 tarihli ve 33348 sayılı Resmî </w:t>
      </w:r>
      <w:proofErr w:type="spellStart"/>
      <w:r w:rsidRPr="00E85C6D">
        <w:t>Gazete’de</w:t>
      </w:r>
      <w:proofErr w:type="spellEnd"/>
      <w:r w:rsidRPr="00E85C6D">
        <w:t xml:space="preserve"> yayımlanmıştır.</w:t>
      </w:r>
      <w:r w:rsidR="00AC195B">
        <w:t xml:space="preserve"> Yayımlandığı tarihte yürürlüğe giren bu Tebliğ ile </w:t>
      </w:r>
      <w:r w:rsidR="00AC195B" w:rsidRPr="00AC195B">
        <w:t xml:space="preserve">4/3/2022 tarihli ve 31778 sayılı Resmî </w:t>
      </w:r>
      <w:proofErr w:type="spellStart"/>
      <w:r w:rsidR="00AC195B" w:rsidRPr="00AC195B">
        <w:t>Gazete’de</w:t>
      </w:r>
      <w:proofErr w:type="spellEnd"/>
      <w:r w:rsidR="00AC195B" w:rsidRPr="00AC195B">
        <w:t xml:space="preserve"> yayımlanan Altın Cinsinden Fiziki Varlıkların Finansal Sisteme Kazandırılması Hakkında Tebliğ (Sayı: 2022/11) yürürlükten kaldırılmıştır.</w:t>
      </w:r>
    </w:p>
    <w:p w14:paraId="4EDAAC34" w14:textId="475037A0" w:rsidR="00C259B6" w:rsidRDefault="00AC195B" w:rsidP="00152C8D">
      <w:pPr>
        <w:jc w:val="both"/>
        <w:rPr>
          <w:b/>
          <w:bCs/>
        </w:rPr>
      </w:pPr>
      <w:r w:rsidRPr="00AC195B">
        <w:t>Yürürlükten kaldırılan 2022/11 sayılı Tebliğ, yurt içi yerleşik gerçek ve tüzel kişilerin yetkili kuyumcular ve rafineriler aracılığıyla ya da doğrudan banka şubelerine gelerek bankalardaki altın hesaplarına yatırdıkları fiziki altın varlıklarının Türk lirası cinsinden mevduat ve katılma hesaplarına dönüştürülmesine imkân tanı</w:t>
      </w:r>
      <w:r>
        <w:t>makta;</w:t>
      </w:r>
      <w:r w:rsidRPr="00AC195B">
        <w:t xml:space="preserve"> ve hesap sahiplerine </w:t>
      </w:r>
      <w:r>
        <w:t xml:space="preserve">çeşitli destekler </w:t>
      </w:r>
      <w:r w:rsidRPr="00AC195B">
        <w:t>sağla</w:t>
      </w:r>
      <w:r>
        <w:t xml:space="preserve">maktaydı. </w:t>
      </w:r>
    </w:p>
    <w:p w14:paraId="2F8B24AB" w14:textId="77777777" w:rsidR="00C259B6" w:rsidRDefault="00C259B6" w:rsidP="00C1118F">
      <w:pPr>
        <w:jc w:val="right"/>
        <w:rPr>
          <w:b/>
          <w:bCs/>
        </w:rPr>
      </w:pPr>
    </w:p>
    <w:sectPr w:rsidR="00C259B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E9CD1" w14:textId="77777777" w:rsidR="00582F66" w:rsidRDefault="00582F66" w:rsidP="00115F14">
      <w:pPr>
        <w:spacing w:after="0" w:line="240" w:lineRule="auto"/>
      </w:pPr>
      <w:r>
        <w:separator/>
      </w:r>
    </w:p>
  </w:endnote>
  <w:endnote w:type="continuationSeparator" w:id="0">
    <w:p w14:paraId="05A4A0C6" w14:textId="77777777" w:rsidR="00582F66" w:rsidRDefault="00582F66" w:rsidP="00115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18701"/>
      <w:docPartObj>
        <w:docPartGallery w:val="Page Numbers (Bottom of Page)"/>
        <w:docPartUnique/>
      </w:docPartObj>
    </w:sdtPr>
    <w:sdtEndPr/>
    <w:sdtContent>
      <w:p w14:paraId="0A308711" w14:textId="41052C5F" w:rsidR="00115F14" w:rsidRDefault="00115F14">
        <w:pPr>
          <w:pStyle w:val="AltBilgi"/>
          <w:jc w:val="right"/>
        </w:pPr>
        <w:r>
          <w:fldChar w:fldCharType="begin"/>
        </w:r>
        <w:r>
          <w:instrText>PAGE   \* MERGEFORMAT</w:instrText>
        </w:r>
        <w:r>
          <w:fldChar w:fldCharType="separate"/>
        </w:r>
        <w:r>
          <w:t>2</w:t>
        </w:r>
        <w:r>
          <w:fldChar w:fldCharType="end"/>
        </w:r>
      </w:p>
    </w:sdtContent>
  </w:sdt>
  <w:p w14:paraId="1CAFFA72" w14:textId="77777777" w:rsidR="00115F14" w:rsidRDefault="00115F1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FE39" w14:textId="77777777" w:rsidR="00582F66" w:rsidRDefault="00582F66" w:rsidP="00115F14">
      <w:pPr>
        <w:spacing w:after="0" w:line="240" w:lineRule="auto"/>
      </w:pPr>
      <w:r>
        <w:separator/>
      </w:r>
    </w:p>
  </w:footnote>
  <w:footnote w:type="continuationSeparator" w:id="0">
    <w:p w14:paraId="37D75999" w14:textId="77777777" w:rsidR="00582F66" w:rsidRDefault="00582F66" w:rsidP="00115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812315451"/>
  <w:bookmarkEnd w:id="0"/>
  <w:p w14:paraId="4746C3C7" w14:textId="683B432B" w:rsidR="00287270" w:rsidRDefault="00287270">
    <w:pPr>
      <w:pStyle w:val="stBilgi"/>
    </w:pPr>
    <w:r w:rsidRPr="00F22779">
      <w:rPr>
        <w:b/>
        <w:bCs/>
      </w:rPr>
      <w:object w:dxaOrig="9042" w:dyaOrig="1927" w14:anchorId="413D5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pt;height:96.5pt">
          <v:imagedata r:id="rId1" o:title=""/>
        </v:shape>
        <o:OLEObject Type="Embed" ProgID="Word.Document.12" ShapeID="_x0000_i1025" DrawAspect="Content" ObjectID="_1849079411" r:id="rId2">
          <o:FieldCodes>\s</o:FieldCodes>
        </o:OLEObject>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570"/>
    <w:rsid w:val="000746B6"/>
    <w:rsid w:val="000A001D"/>
    <w:rsid w:val="00115F14"/>
    <w:rsid w:val="00152C8D"/>
    <w:rsid w:val="002541E9"/>
    <w:rsid w:val="00287270"/>
    <w:rsid w:val="003F5280"/>
    <w:rsid w:val="00471E82"/>
    <w:rsid w:val="004920FE"/>
    <w:rsid w:val="00582F66"/>
    <w:rsid w:val="005C1BAC"/>
    <w:rsid w:val="005C6BF5"/>
    <w:rsid w:val="005F2A42"/>
    <w:rsid w:val="00631CE0"/>
    <w:rsid w:val="006978C6"/>
    <w:rsid w:val="006F02B7"/>
    <w:rsid w:val="00780035"/>
    <w:rsid w:val="00794D3A"/>
    <w:rsid w:val="00815C81"/>
    <w:rsid w:val="008D7D85"/>
    <w:rsid w:val="00955CC9"/>
    <w:rsid w:val="009B6807"/>
    <w:rsid w:val="009E2A7C"/>
    <w:rsid w:val="00AC195B"/>
    <w:rsid w:val="00B77DED"/>
    <w:rsid w:val="00BC4B91"/>
    <w:rsid w:val="00BE6F42"/>
    <w:rsid w:val="00C1118F"/>
    <w:rsid w:val="00C23507"/>
    <w:rsid w:val="00C259B6"/>
    <w:rsid w:val="00CF454E"/>
    <w:rsid w:val="00D149C1"/>
    <w:rsid w:val="00D92F56"/>
    <w:rsid w:val="00E81570"/>
    <w:rsid w:val="00E85C6D"/>
    <w:rsid w:val="00EA3523"/>
    <w:rsid w:val="00ED76D9"/>
    <w:rsid w:val="00ED7C30"/>
    <w:rsid w:val="00FD21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C964"/>
  <w15:chartTrackingRefBased/>
  <w15:docId w15:val="{1A811555-F8E7-4694-B291-894C5F482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815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815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815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815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815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815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815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815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8157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8157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8157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8157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8157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8157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8157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8157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8157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81570"/>
    <w:rPr>
      <w:rFonts w:eastAsiaTheme="majorEastAsia" w:cstheme="majorBidi"/>
      <w:color w:val="272727" w:themeColor="text1" w:themeTint="D8"/>
    </w:rPr>
  </w:style>
  <w:style w:type="paragraph" w:styleId="KonuBal">
    <w:name w:val="Title"/>
    <w:basedOn w:val="Normal"/>
    <w:next w:val="Normal"/>
    <w:link w:val="KonuBalChar"/>
    <w:uiPriority w:val="10"/>
    <w:qFormat/>
    <w:rsid w:val="00E81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8157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8157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815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8157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81570"/>
    <w:rPr>
      <w:i/>
      <w:iCs/>
      <w:color w:val="404040" w:themeColor="text1" w:themeTint="BF"/>
    </w:rPr>
  </w:style>
  <w:style w:type="paragraph" w:styleId="ListeParagraf">
    <w:name w:val="List Paragraph"/>
    <w:basedOn w:val="Normal"/>
    <w:uiPriority w:val="34"/>
    <w:qFormat/>
    <w:rsid w:val="00E81570"/>
    <w:pPr>
      <w:ind w:left="720"/>
      <w:contextualSpacing/>
    </w:pPr>
  </w:style>
  <w:style w:type="character" w:styleId="GlVurgulama">
    <w:name w:val="Intense Emphasis"/>
    <w:basedOn w:val="VarsaylanParagrafYazTipi"/>
    <w:uiPriority w:val="21"/>
    <w:qFormat/>
    <w:rsid w:val="00E81570"/>
    <w:rPr>
      <w:i/>
      <w:iCs/>
      <w:color w:val="2F5496" w:themeColor="accent1" w:themeShade="BF"/>
    </w:rPr>
  </w:style>
  <w:style w:type="paragraph" w:styleId="GlAlnt">
    <w:name w:val="Intense Quote"/>
    <w:basedOn w:val="Normal"/>
    <w:next w:val="Normal"/>
    <w:link w:val="GlAlntChar"/>
    <w:uiPriority w:val="30"/>
    <w:qFormat/>
    <w:rsid w:val="00E815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81570"/>
    <w:rPr>
      <w:i/>
      <w:iCs/>
      <w:color w:val="2F5496" w:themeColor="accent1" w:themeShade="BF"/>
    </w:rPr>
  </w:style>
  <w:style w:type="character" w:styleId="GlBavuru">
    <w:name w:val="Intense Reference"/>
    <w:basedOn w:val="VarsaylanParagrafYazTipi"/>
    <w:uiPriority w:val="32"/>
    <w:qFormat/>
    <w:rsid w:val="00E81570"/>
    <w:rPr>
      <w:b/>
      <w:bCs/>
      <w:smallCaps/>
      <w:color w:val="2F5496" w:themeColor="accent1" w:themeShade="BF"/>
      <w:spacing w:val="5"/>
    </w:rPr>
  </w:style>
  <w:style w:type="character" w:styleId="Kpr">
    <w:name w:val="Hyperlink"/>
    <w:basedOn w:val="VarsaylanParagrafYazTipi"/>
    <w:uiPriority w:val="99"/>
    <w:unhideWhenUsed/>
    <w:rsid w:val="00E81570"/>
    <w:rPr>
      <w:color w:val="0563C1" w:themeColor="hyperlink"/>
      <w:u w:val="single"/>
    </w:rPr>
  </w:style>
  <w:style w:type="character" w:styleId="zmlenmeyenBahsetme">
    <w:name w:val="Unresolved Mention"/>
    <w:basedOn w:val="VarsaylanParagrafYazTipi"/>
    <w:uiPriority w:val="99"/>
    <w:semiHidden/>
    <w:unhideWhenUsed/>
    <w:rsid w:val="00E81570"/>
    <w:rPr>
      <w:color w:val="605E5C"/>
      <w:shd w:val="clear" w:color="auto" w:fill="E1DFDD"/>
    </w:rPr>
  </w:style>
  <w:style w:type="paragraph" w:styleId="NormalWeb">
    <w:name w:val="Normal (Web)"/>
    <w:basedOn w:val="Normal"/>
    <w:uiPriority w:val="99"/>
    <w:semiHidden/>
    <w:unhideWhenUsed/>
    <w:rsid w:val="004920FE"/>
    <w:rPr>
      <w:rFonts w:ascii="Times New Roman" w:hAnsi="Times New Roman" w:cs="Times New Roman"/>
      <w:sz w:val="24"/>
      <w:szCs w:val="24"/>
    </w:rPr>
  </w:style>
  <w:style w:type="paragraph" w:styleId="stBilgi">
    <w:name w:val="header"/>
    <w:basedOn w:val="Normal"/>
    <w:link w:val="stBilgiChar"/>
    <w:uiPriority w:val="99"/>
    <w:unhideWhenUsed/>
    <w:rsid w:val="00115F1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15F14"/>
  </w:style>
  <w:style w:type="paragraph" w:styleId="AltBilgi">
    <w:name w:val="footer"/>
    <w:basedOn w:val="Normal"/>
    <w:link w:val="AltBilgiChar"/>
    <w:uiPriority w:val="99"/>
    <w:unhideWhenUsed/>
    <w:rsid w:val="00115F1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15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rgtr.org/ozel-tuketim-vergisi-kanunu-4760-sayili-kanu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gtr.org/ozel-tuketim-vergisi-kanunu-4760-sayili-kanu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694</Words>
  <Characters>3958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Tuncay KAPUSUZOGLU</dc:creator>
  <cp:keywords/>
  <dc:description/>
  <cp:lastModifiedBy>Devrim ATATAŞ</cp:lastModifiedBy>
  <cp:revision>19</cp:revision>
  <dcterms:created xsi:type="dcterms:W3CDTF">2026-08-07T06:53:00Z</dcterms:created>
  <dcterms:modified xsi:type="dcterms:W3CDTF">2026-08-24T09:24:00Z</dcterms:modified>
</cp:coreProperties>
</file>